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ind w:firstLine="361" w:firstLineChars="100"/>
        <w:jc w:val="both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sz w:val="36"/>
          <w:szCs w:val="36"/>
          <w:lang w:val="en-US" w:eastAsia="zh-CN"/>
        </w:rPr>
        <w:t>年全国计算机技术与软件专业技术资格（水平）</w:t>
      </w:r>
    </w:p>
    <w:p>
      <w:pPr>
        <w:numPr>
          <w:numId w:val="0"/>
        </w:numPr>
        <w:ind w:firstLine="2891" w:firstLineChars="800"/>
        <w:jc w:val="both"/>
        <w:rPr>
          <w:rFonts w:hint="eastAsia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考试成绩复查申请表</w:t>
      </w:r>
    </w:p>
    <w:tbl>
      <w:tblPr>
        <w:tblStyle w:val="4"/>
        <w:tblW w:w="92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884"/>
        <w:gridCol w:w="1524"/>
        <w:gridCol w:w="1416"/>
        <w:gridCol w:w="780"/>
        <w:gridCol w:w="690"/>
        <w:gridCol w:w="750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47" w:hRule="atLeast"/>
        </w:trPr>
        <w:tc>
          <w:tcPr>
            <w:tcW w:w="188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940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7" w:hRule="atLeast"/>
        </w:trPr>
        <w:tc>
          <w:tcPr>
            <w:tcW w:w="188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有效证件号</w:t>
            </w:r>
          </w:p>
        </w:tc>
        <w:tc>
          <w:tcPr>
            <w:tcW w:w="7380" w:type="dxa"/>
            <w:gridSpan w:val="6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7" w:hRule="atLeast"/>
        </w:trPr>
        <w:tc>
          <w:tcPr>
            <w:tcW w:w="188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380" w:type="dxa"/>
            <w:gridSpan w:val="6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47" w:hRule="atLeast"/>
        </w:trPr>
        <w:tc>
          <w:tcPr>
            <w:tcW w:w="188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7380" w:type="dxa"/>
            <w:gridSpan w:val="6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7" w:hRule="atLeast"/>
        </w:trPr>
        <w:tc>
          <w:tcPr>
            <w:tcW w:w="188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720" w:type="dxa"/>
            <w:gridSpan w:val="3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220" w:type="dxa"/>
          </w:tcPr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7" w:hRule="atLeast"/>
        </w:trPr>
        <w:tc>
          <w:tcPr>
            <w:tcW w:w="188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复查专业</w:t>
            </w:r>
          </w:p>
        </w:tc>
        <w:tc>
          <w:tcPr>
            <w:tcW w:w="7380" w:type="dxa"/>
            <w:gridSpan w:val="6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2" w:hRule="atLeast"/>
        </w:trPr>
        <w:tc>
          <w:tcPr>
            <w:tcW w:w="188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复查级别</w:t>
            </w:r>
          </w:p>
        </w:tc>
        <w:tc>
          <w:tcPr>
            <w:tcW w:w="152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初级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应用技术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成绩</w:t>
            </w:r>
          </w:p>
        </w:tc>
        <w:tc>
          <w:tcPr>
            <w:tcW w:w="2220" w:type="dxa"/>
          </w:tcPr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7" w:hRule="atLeast"/>
        </w:trPr>
        <w:tc>
          <w:tcPr>
            <w:tcW w:w="188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中级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应用技术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成绩</w:t>
            </w:r>
          </w:p>
        </w:tc>
        <w:tc>
          <w:tcPr>
            <w:tcW w:w="2220" w:type="dxa"/>
          </w:tcPr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2" w:hRule="atLeast"/>
        </w:trPr>
        <w:tc>
          <w:tcPr>
            <w:tcW w:w="188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高级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案例分析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成绩</w:t>
            </w:r>
          </w:p>
        </w:tc>
        <w:tc>
          <w:tcPr>
            <w:tcW w:w="2220" w:type="dxa"/>
          </w:tcPr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7" w:hRule="atLeast"/>
        </w:trPr>
        <w:tc>
          <w:tcPr>
            <w:tcW w:w="188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论文      □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成绩</w:t>
            </w:r>
          </w:p>
        </w:tc>
        <w:tc>
          <w:tcPr>
            <w:tcW w:w="2220" w:type="dxa"/>
          </w:tcPr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591" w:hRule="atLeast"/>
        </w:trPr>
        <w:tc>
          <w:tcPr>
            <w:tcW w:w="188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复查理由</w:t>
            </w:r>
          </w:p>
        </w:tc>
        <w:tc>
          <w:tcPr>
            <w:tcW w:w="7380" w:type="dxa"/>
            <w:gridSpan w:val="6"/>
          </w:tcPr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spacing w:line="360" w:lineRule="auto"/>
              <w:ind w:firstLine="720" w:firstLineChars="30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申请人签字：</w:t>
            </w:r>
          </w:p>
          <w:p>
            <w:pPr>
              <w:numPr>
                <w:numId w:val="0"/>
              </w:numPr>
              <w:spacing w:line="360" w:lineRule="auto"/>
              <w:ind w:firstLine="2160" w:firstLineChars="90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  月     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740" w:hRule="atLeast"/>
        </w:trPr>
        <w:tc>
          <w:tcPr>
            <w:tcW w:w="9264" w:type="dxa"/>
            <w:gridSpan w:val="7"/>
          </w:tcPr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受理时间：              经办人签字：              负责人签字：</w:t>
            </w:r>
          </w:p>
        </w:tc>
      </w:tr>
    </w:tbl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</w:t>
      </w:r>
      <w:r>
        <w:rPr>
          <w:rFonts w:hint="eastAsia"/>
          <w:b/>
          <w:bCs/>
          <w:sz w:val="24"/>
          <w:szCs w:val="24"/>
          <w:lang w:val="en-US" w:eastAsia="zh-CN"/>
        </w:rPr>
        <w:t>1、</w:t>
      </w:r>
      <w:r>
        <w:rPr>
          <w:rFonts w:hint="eastAsia"/>
          <w:b/>
          <w:bCs/>
          <w:sz w:val="24"/>
          <w:szCs w:val="24"/>
          <w:lang w:val="en-US" w:eastAsia="zh-CN"/>
        </w:rPr>
        <w:t>复查范围：</w:t>
      </w:r>
      <w:r>
        <w:rPr>
          <w:rFonts w:hint="eastAsia"/>
          <w:sz w:val="24"/>
          <w:szCs w:val="24"/>
          <w:lang w:val="en-US" w:eastAsia="zh-CN"/>
        </w:rPr>
        <w:t>下午各专业考试科目主观试题；</w:t>
      </w:r>
    </w:p>
    <w:p>
      <w:pPr>
        <w:numPr>
          <w:numId w:val="0"/>
        </w:numPr>
        <w:ind w:left="2405" w:leftChars="342" w:hanging="1687" w:hangingChars="7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2、复查内容：</w:t>
      </w:r>
      <w:r>
        <w:rPr>
          <w:rFonts w:hint="eastAsia"/>
          <w:sz w:val="24"/>
          <w:szCs w:val="24"/>
          <w:lang w:val="en-US" w:eastAsia="zh-CN"/>
        </w:rPr>
        <w:sym w:font="Wingdings" w:char="F081"/>
      </w:r>
      <w:r>
        <w:rPr>
          <w:rFonts w:hint="eastAsia"/>
          <w:sz w:val="24"/>
          <w:szCs w:val="24"/>
          <w:lang w:val="en-US" w:eastAsia="zh-CN"/>
        </w:rPr>
        <w:t>检查试题是否有漏评；</w:t>
      </w:r>
      <w:r>
        <w:rPr>
          <w:rFonts w:hint="eastAsia"/>
          <w:sz w:val="24"/>
          <w:szCs w:val="24"/>
          <w:lang w:val="en-US" w:eastAsia="zh-CN"/>
        </w:rPr>
        <w:sym w:font="Wingdings" w:char="F082"/>
      </w:r>
      <w:r>
        <w:rPr>
          <w:rFonts w:hint="eastAsia"/>
          <w:sz w:val="24"/>
          <w:szCs w:val="24"/>
          <w:lang w:val="en-US" w:eastAsia="zh-CN"/>
        </w:rPr>
        <w:t>检查评分是否有误差；</w:t>
      </w:r>
      <w:r>
        <w:rPr>
          <w:rFonts w:hint="eastAsia"/>
          <w:sz w:val="24"/>
          <w:szCs w:val="24"/>
          <w:lang w:val="en-US" w:eastAsia="zh-CN"/>
        </w:rPr>
        <w:sym w:font="Wingdings" w:char="F083"/>
      </w:r>
      <w:r>
        <w:rPr>
          <w:rFonts w:hint="eastAsia"/>
          <w:sz w:val="24"/>
          <w:szCs w:val="24"/>
          <w:lang w:val="en-US" w:eastAsia="zh-CN"/>
        </w:rPr>
        <w:t>答卷截图是否有误；</w:t>
      </w:r>
    </w:p>
    <w:p>
      <w:pPr>
        <w:numPr>
          <w:numId w:val="0"/>
        </w:numPr>
        <w:ind w:firstLine="723" w:firstLineChars="3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3、复查时间：</w:t>
      </w:r>
      <w:r>
        <w:rPr>
          <w:rFonts w:hint="eastAsia"/>
          <w:sz w:val="24"/>
          <w:szCs w:val="24"/>
          <w:lang w:val="en-US" w:eastAsia="zh-CN"/>
        </w:rPr>
        <w:t>考生提出成绩复查应在考试成绩公布后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20日</w:t>
      </w:r>
      <w:r>
        <w:rPr>
          <w:rFonts w:hint="eastAsia"/>
          <w:sz w:val="24"/>
          <w:szCs w:val="24"/>
          <w:lang w:val="en-US" w:eastAsia="zh-CN"/>
        </w:rPr>
        <w:t>内，逾期不再受理。</w:t>
      </w:r>
    </w:p>
    <w:sectPr>
      <w:pgSz w:w="11906" w:h="16838"/>
      <w:pgMar w:top="1440" w:right="1417" w:bottom="1134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C61F44"/>
    <w:rsid w:val="0B81797B"/>
    <w:rsid w:val="118031AE"/>
    <w:rsid w:val="14AE243A"/>
    <w:rsid w:val="155D0A3E"/>
    <w:rsid w:val="19CC0C6D"/>
    <w:rsid w:val="24C454B5"/>
    <w:rsid w:val="2D825B28"/>
    <w:rsid w:val="348D66D7"/>
    <w:rsid w:val="35E3575F"/>
    <w:rsid w:val="3795249C"/>
    <w:rsid w:val="3E0772E8"/>
    <w:rsid w:val="3EF076DA"/>
    <w:rsid w:val="472511ED"/>
    <w:rsid w:val="48AB5B82"/>
    <w:rsid w:val="65BF71D3"/>
    <w:rsid w:val="7F3200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2017-10-31T01:26:55Z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