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C6E" w:rsidRDefault="00282C6E" w:rsidP="00282C6E">
      <w:pPr>
        <w:pStyle w:val="a5"/>
        <w:spacing w:line="330" w:lineRule="atLeast"/>
        <w:rPr>
          <w:rFonts w:ascii="Arial" w:hAnsi="Arial" w:cs="Arial"/>
          <w:sz w:val="21"/>
          <w:szCs w:val="21"/>
        </w:rPr>
      </w:pPr>
      <w:r>
        <w:rPr>
          <w:rStyle w:val="a6"/>
          <w:rFonts w:ascii="Arial" w:hAnsi="Arial" w:cs="Arial"/>
          <w:sz w:val="21"/>
          <w:szCs w:val="21"/>
        </w:rPr>
        <w:t xml:space="preserve">　　本公约缔约方：</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认识到持久性有机污染物具有毒性、难以降解、可产生生物蓄积以及往往通过空气、水和迁徙物种作跨越国际边界的迁移并沉积在远离其排放地点的地区，随后在那里的陆地生态系统和水域生态系统中蓄积起来，</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意识到特别是在发展中国家中，人们对因在当地接触持久性有机污染物而产生的健康问题感到关注，尤其是对因此而使妇女以及通过妇女使子孙后代受到的不利影响感到关注，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确认持久性有机污染物的生物放大作用致使北极生态系统、特别是该地区的土著社区受到尤为严重的威胁，并确认土著人的传统食物受到污染是土著社区面对的一个公共卫生问题，</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意识到必须在全球范围内对持久性有机污染物采取行动，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铭记联合国环境规划署理事会</w:t>
      </w:r>
      <w:r>
        <w:rPr>
          <w:rFonts w:ascii="Arial" w:hAnsi="Arial" w:cs="Arial"/>
          <w:sz w:val="21"/>
          <w:szCs w:val="21"/>
        </w:rPr>
        <w:t>1997</w:t>
      </w:r>
      <w:r>
        <w:rPr>
          <w:rFonts w:ascii="Arial" w:hAnsi="Arial" w:cs="Arial"/>
          <w:sz w:val="21"/>
          <w:szCs w:val="21"/>
        </w:rPr>
        <w:t>年</w:t>
      </w:r>
      <w:r>
        <w:rPr>
          <w:rFonts w:ascii="Arial" w:hAnsi="Arial" w:cs="Arial"/>
          <w:sz w:val="21"/>
          <w:szCs w:val="21"/>
        </w:rPr>
        <w:t>2</w:t>
      </w:r>
      <w:r>
        <w:rPr>
          <w:rFonts w:ascii="Arial" w:hAnsi="Arial" w:cs="Arial"/>
          <w:sz w:val="21"/>
          <w:szCs w:val="21"/>
        </w:rPr>
        <w:t>月</w:t>
      </w:r>
      <w:r>
        <w:rPr>
          <w:rFonts w:ascii="Arial" w:hAnsi="Arial" w:cs="Arial"/>
          <w:sz w:val="21"/>
          <w:szCs w:val="21"/>
        </w:rPr>
        <w:t>7</w:t>
      </w:r>
      <w:r>
        <w:rPr>
          <w:rFonts w:ascii="Arial" w:hAnsi="Arial" w:cs="Arial"/>
          <w:sz w:val="21"/>
          <w:szCs w:val="21"/>
        </w:rPr>
        <w:t>日通过的第</w:t>
      </w:r>
      <w:r>
        <w:rPr>
          <w:rFonts w:ascii="Arial" w:hAnsi="Arial" w:cs="Arial"/>
          <w:sz w:val="21"/>
          <w:szCs w:val="21"/>
        </w:rPr>
        <w:t>19/13C</w:t>
      </w:r>
      <w:r>
        <w:rPr>
          <w:rFonts w:ascii="Arial" w:hAnsi="Arial" w:cs="Arial"/>
          <w:sz w:val="21"/>
          <w:szCs w:val="21"/>
        </w:rPr>
        <w:t>号决定，为保护人类健康和环境采取包括旨在减少和</w:t>
      </w:r>
      <w:r>
        <w:rPr>
          <w:rFonts w:ascii="Arial" w:hAnsi="Arial" w:cs="Arial"/>
          <w:sz w:val="21"/>
          <w:szCs w:val="21"/>
        </w:rPr>
        <w:t>/</w:t>
      </w:r>
      <w:r>
        <w:rPr>
          <w:rFonts w:ascii="Arial" w:hAnsi="Arial" w:cs="Arial"/>
          <w:sz w:val="21"/>
          <w:szCs w:val="21"/>
        </w:rPr>
        <w:t>或消除持久性有机污染物排放和释放的措施在内的国际行动，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回顾有关的国际环境公约，特别是《关于在国际贸易中对某些危险化学品和农药采用事先知情同意程序的鹿特丹公约》、《控制危险废物越境转移及其处置巴塞尔公约》以及在该公约第</w:t>
      </w:r>
      <w:r>
        <w:rPr>
          <w:rFonts w:ascii="Arial" w:hAnsi="Arial" w:cs="Arial"/>
          <w:sz w:val="21"/>
          <w:szCs w:val="21"/>
        </w:rPr>
        <w:t>11</w:t>
      </w:r>
      <w:r>
        <w:rPr>
          <w:rFonts w:ascii="Arial" w:hAnsi="Arial" w:cs="Arial"/>
          <w:sz w:val="21"/>
          <w:szCs w:val="21"/>
        </w:rPr>
        <w:t>条框架内缔结的各项区域性协定的相关条款，</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并回顾《关于环境与发展的里约宣言》和《</w:t>
      </w:r>
      <w:r>
        <w:rPr>
          <w:rFonts w:ascii="Arial" w:hAnsi="Arial" w:cs="Arial"/>
          <w:sz w:val="21"/>
          <w:szCs w:val="21"/>
        </w:rPr>
        <w:t>21</w:t>
      </w:r>
      <w:r>
        <w:rPr>
          <w:rFonts w:ascii="Arial" w:hAnsi="Arial" w:cs="Arial"/>
          <w:sz w:val="21"/>
          <w:szCs w:val="21"/>
        </w:rPr>
        <w:t>世纪议程》中的有关规定，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确认预防原则受到所有缔约方的关注，并体现于本公约之中，</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认识到本公约与贸易和环境领域内的其他国际协定彼此相辅相成，</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重申依照《联合国宪章》和国际法原则，各国拥有依照其本国环境与发展政策开发其自有资源的主权，并有责任确保其管辖范围内的或其控制下的活动不对其他国家的环境或其国家管辖范围以外地区的环境造成损害，</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考虑到发展中国家、特别是其中的最不发达国家以及经济转型国家的具体国情和特殊需要，特别是有必要通过转让技术、提供财政和技术援助以及推动缔约方之间的合作等手段，加强这些国家对化学品实行管理的国家能力，</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充分考虑到于</w:t>
      </w:r>
      <w:r>
        <w:rPr>
          <w:rFonts w:ascii="Arial" w:hAnsi="Arial" w:cs="Arial"/>
          <w:sz w:val="21"/>
          <w:szCs w:val="21"/>
        </w:rPr>
        <w:t>1994</w:t>
      </w:r>
      <w:r>
        <w:rPr>
          <w:rFonts w:ascii="Arial" w:hAnsi="Arial" w:cs="Arial"/>
          <w:sz w:val="21"/>
          <w:szCs w:val="21"/>
        </w:rPr>
        <w:t>年</w:t>
      </w:r>
      <w:r>
        <w:rPr>
          <w:rFonts w:ascii="Arial" w:hAnsi="Arial" w:cs="Arial"/>
          <w:sz w:val="21"/>
          <w:szCs w:val="21"/>
        </w:rPr>
        <w:t>5</w:t>
      </w:r>
      <w:r>
        <w:rPr>
          <w:rFonts w:ascii="Arial" w:hAnsi="Arial" w:cs="Arial"/>
          <w:sz w:val="21"/>
          <w:szCs w:val="21"/>
        </w:rPr>
        <w:t>月</w:t>
      </w:r>
      <w:r>
        <w:rPr>
          <w:rFonts w:ascii="Arial" w:hAnsi="Arial" w:cs="Arial"/>
          <w:sz w:val="21"/>
          <w:szCs w:val="21"/>
        </w:rPr>
        <w:t>6</w:t>
      </w:r>
      <w:r>
        <w:rPr>
          <w:rFonts w:ascii="Arial" w:hAnsi="Arial" w:cs="Arial"/>
          <w:sz w:val="21"/>
          <w:szCs w:val="21"/>
        </w:rPr>
        <w:t>日在巴巴多斯通过的《关于小岛屿发展中国家可持续发展的行动纲领》，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注意到发达国家和发展中国家各自的能力以及《关于环境与发展的里约宣言》之原则</w:t>
      </w:r>
      <w:r>
        <w:rPr>
          <w:rFonts w:ascii="Arial" w:hAnsi="Arial" w:cs="Arial"/>
          <w:sz w:val="21"/>
          <w:szCs w:val="21"/>
        </w:rPr>
        <w:t>7</w:t>
      </w:r>
      <w:r>
        <w:rPr>
          <w:rFonts w:ascii="Arial" w:hAnsi="Arial" w:cs="Arial"/>
          <w:sz w:val="21"/>
          <w:szCs w:val="21"/>
        </w:rPr>
        <w:t>中确立的各国所负有的共同但有区别的责任，</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认识到私营部门和非政府组织可在减少和</w:t>
      </w:r>
      <w:r>
        <w:rPr>
          <w:rFonts w:ascii="Arial" w:hAnsi="Arial" w:cs="Arial"/>
          <w:sz w:val="21"/>
          <w:szCs w:val="21"/>
        </w:rPr>
        <w:t>/</w:t>
      </w:r>
      <w:r>
        <w:rPr>
          <w:rFonts w:ascii="Arial" w:hAnsi="Arial" w:cs="Arial"/>
          <w:sz w:val="21"/>
          <w:szCs w:val="21"/>
        </w:rPr>
        <w:t>或消除持久性有机污染物的排放和释放方面做出重要贡献，</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强调持久性有机污染物的生产者在减少其产品所产生的有害影响并向用户、政府和公众提供这些化学品危险特性信息方面负有责任的重要性，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意识到需要采取措施，防止持久性有机污染物在其生命周期的所有阶段产生的不利影响，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重申《关于环境与发展的里约宣言》之原则</w:t>
      </w:r>
      <w:r>
        <w:rPr>
          <w:rFonts w:ascii="Arial" w:hAnsi="Arial" w:cs="Arial"/>
          <w:sz w:val="21"/>
          <w:szCs w:val="21"/>
        </w:rPr>
        <w:t>16</w:t>
      </w:r>
      <w:r>
        <w:rPr>
          <w:rFonts w:ascii="Arial" w:hAnsi="Arial" w:cs="Arial"/>
          <w:sz w:val="21"/>
          <w:szCs w:val="21"/>
        </w:rPr>
        <w:t>，各国主管当局应考虑到原则上应由污染者承担治理污染费用的方针，同时适当顾及公众利益和避免使国际贸易和投资发生扭曲，努力促进环境成本内部化，和各种经济手段的应用，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鼓励那些尚未制订农药和工业化学品管制与评估方案的缔约方着手制订此种方案，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认识到开发和利用环境无害化的替代工艺和化学品的重要性，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决心保护人类健康和环境免受持久性有机污染物的危害，</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兹协议如下：</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w:t>
      </w:r>
      <w:r>
        <w:rPr>
          <w:rFonts w:ascii="Arial" w:hAnsi="Arial" w:cs="Arial"/>
          <w:sz w:val="21"/>
          <w:szCs w:val="21"/>
        </w:rPr>
        <w:t>条</w:t>
      </w:r>
      <w:r>
        <w:rPr>
          <w:rFonts w:ascii="Arial" w:hAnsi="Arial" w:cs="Arial"/>
          <w:sz w:val="21"/>
          <w:szCs w:val="21"/>
        </w:rPr>
        <w:t xml:space="preserve"> </w:t>
      </w:r>
      <w:r>
        <w:rPr>
          <w:rFonts w:ascii="Arial" w:hAnsi="Arial" w:cs="Arial"/>
          <w:sz w:val="21"/>
          <w:szCs w:val="21"/>
        </w:rPr>
        <w:t>目标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本公约的目标是，铭记《关于环境与发展的里约宣言》之原则</w:t>
      </w:r>
      <w:r>
        <w:rPr>
          <w:rFonts w:ascii="Arial" w:hAnsi="Arial" w:cs="Arial"/>
          <w:sz w:val="21"/>
          <w:szCs w:val="21"/>
        </w:rPr>
        <w:t>15</w:t>
      </w:r>
      <w:r>
        <w:rPr>
          <w:rFonts w:ascii="Arial" w:hAnsi="Arial" w:cs="Arial"/>
          <w:sz w:val="21"/>
          <w:szCs w:val="21"/>
        </w:rPr>
        <w:t>确立的预防原则，保护人类健康和环境免受持久性有机污染物的危害。</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w:t>
      </w:r>
      <w:r>
        <w:rPr>
          <w:rFonts w:ascii="Arial" w:hAnsi="Arial" w:cs="Arial"/>
          <w:sz w:val="21"/>
          <w:szCs w:val="21"/>
        </w:rPr>
        <w:t>条</w:t>
      </w:r>
      <w:r>
        <w:rPr>
          <w:rFonts w:ascii="Arial" w:hAnsi="Arial" w:cs="Arial"/>
          <w:sz w:val="21"/>
          <w:szCs w:val="21"/>
        </w:rPr>
        <w:t xml:space="preserve"> </w:t>
      </w:r>
      <w:r>
        <w:rPr>
          <w:rFonts w:ascii="Arial" w:hAnsi="Arial" w:cs="Arial"/>
          <w:sz w:val="21"/>
          <w:szCs w:val="21"/>
        </w:rPr>
        <w:t>定义</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为本公约的目的：</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w:t>
      </w:r>
      <w:r>
        <w:rPr>
          <w:rFonts w:ascii="Arial" w:hAnsi="Arial" w:cs="Arial"/>
          <w:sz w:val="21"/>
          <w:szCs w:val="21"/>
        </w:rPr>
        <w:t>“</w:t>
      </w:r>
      <w:r>
        <w:rPr>
          <w:rFonts w:ascii="Arial" w:hAnsi="Arial" w:cs="Arial"/>
          <w:sz w:val="21"/>
          <w:szCs w:val="21"/>
        </w:rPr>
        <w:t>缔约方</w:t>
      </w:r>
      <w:r>
        <w:rPr>
          <w:rFonts w:ascii="Arial" w:hAnsi="Arial" w:cs="Arial"/>
          <w:sz w:val="21"/>
          <w:szCs w:val="21"/>
        </w:rPr>
        <w:t>”</w:t>
      </w:r>
      <w:r>
        <w:rPr>
          <w:rFonts w:ascii="Arial" w:hAnsi="Arial" w:cs="Arial"/>
          <w:sz w:val="21"/>
          <w:szCs w:val="21"/>
        </w:rPr>
        <w:t>是指已同意受本公约约束、且本公约已对其生效的国家或区域经济一体化组织；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w:t>
      </w:r>
      <w:r>
        <w:rPr>
          <w:rFonts w:ascii="Arial" w:hAnsi="Arial" w:cs="Arial"/>
          <w:sz w:val="21"/>
          <w:szCs w:val="21"/>
        </w:rPr>
        <w:t>“</w:t>
      </w:r>
      <w:r>
        <w:rPr>
          <w:rFonts w:ascii="Arial" w:hAnsi="Arial" w:cs="Arial"/>
          <w:sz w:val="21"/>
          <w:szCs w:val="21"/>
        </w:rPr>
        <w:t>区域经济一体化组织</w:t>
      </w:r>
      <w:r>
        <w:rPr>
          <w:rFonts w:ascii="Arial" w:hAnsi="Arial" w:cs="Arial"/>
          <w:sz w:val="21"/>
          <w:szCs w:val="21"/>
        </w:rPr>
        <w:t>”</w:t>
      </w:r>
      <w:r>
        <w:rPr>
          <w:rFonts w:ascii="Arial" w:hAnsi="Arial" w:cs="Arial"/>
          <w:sz w:val="21"/>
          <w:szCs w:val="21"/>
        </w:rPr>
        <w:t>是指由一个特定区域的主权国家所组成的组织，它已由其成员国让渡处理本公约所规定事项的权限、且已按照其内部程序获得正式授权可以签署、批准、接受、核准或加入本公约；</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w:t>
      </w:r>
      <w:r>
        <w:rPr>
          <w:rFonts w:ascii="Arial" w:hAnsi="Arial" w:cs="Arial"/>
          <w:sz w:val="21"/>
          <w:szCs w:val="21"/>
        </w:rPr>
        <w:t>“</w:t>
      </w:r>
      <w:r>
        <w:rPr>
          <w:rFonts w:ascii="Arial" w:hAnsi="Arial" w:cs="Arial"/>
          <w:sz w:val="21"/>
          <w:szCs w:val="21"/>
        </w:rPr>
        <w:t>出席并参加表决的缔约方</w:t>
      </w:r>
      <w:r>
        <w:rPr>
          <w:rFonts w:ascii="Arial" w:hAnsi="Arial" w:cs="Arial"/>
          <w:sz w:val="21"/>
          <w:szCs w:val="21"/>
        </w:rPr>
        <w:t>”</w:t>
      </w:r>
      <w:r>
        <w:rPr>
          <w:rFonts w:ascii="Arial" w:hAnsi="Arial" w:cs="Arial"/>
          <w:sz w:val="21"/>
          <w:szCs w:val="21"/>
        </w:rPr>
        <w:t>是指出席会议并投赞成票或反对票的缔约方。</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3</w:t>
      </w:r>
      <w:r>
        <w:rPr>
          <w:rFonts w:ascii="Arial" w:hAnsi="Arial" w:cs="Arial"/>
          <w:sz w:val="21"/>
          <w:szCs w:val="21"/>
        </w:rPr>
        <w:t>条</w:t>
      </w:r>
      <w:r>
        <w:rPr>
          <w:rFonts w:ascii="Arial" w:hAnsi="Arial" w:cs="Arial"/>
          <w:sz w:val="21"/>
          <w:szCs w:val="21"/>
        </w:rPr>
        <w:t xml:space="preserve"> </w:t>
      </w:r>
      <w:r>
        <w:rPr>
          <w:rFonts w:ascii="Arial" w:hAnsi="Arial" w:cs="Arial"/>
          <w:sz w:val="21"/>
          <w:szCs w:val="21"/>
        </w:rPr>
        <w:t>旨在减少或消除源自有意生产和使用的排放的措施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、每一缔约方应：</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）禁止和</w:t>
      </w:r>
      <w:r>
        <w:rPr>
          <w:rFonts w:ascii="Arial" w:hAnsi="Arial" w:cs="Arial"/>
          <w:sz w:val="21"/>
          <w:szCs w:val="21"/>
        </w:rPr>
        <w:t>/</w:t>
      </w:r>
      <w:r>
        <w:rPr>
          <w:rFonts w:ascii="Arial" w:hAnsi="Arial" w:cs="Arial"/>
          <w:sz w:val="21"/>
          <w:szCs w:val="21"/>
        </w:rPr>
        <w:t>或采取必要的法律和行政措施，以消除：</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）附件</w:t>
      </w:r>
      <w:r>
        <w:rPr>
          <w:rFonts w:ascii="Arial" w:hAnsi="Arial" w:cs="Arial"/>
          <w:sz w:val="21"/>
          <w:szCs w:val="21"/>
        </w:rPr>
        <w:t>A</w:t>
      </w:r>
      <w:r>
        <w:rPr>
          <w:rFonts w:ascii="Arial" w:hAnsi="Arial" w:cs="Arial"/>
          <w:sz w:val="21"/>
          <w:szCs w:val="21"/>
        </w:rPr>
        <w:t>所列化学品的生产和使用，但受限于该附件的规定；和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）附件</w:t>
      </w:r>
      <w:r>
        <w:rPr>
          <w:rFonts w:ascii="Arial" w:hAnsi="Arial" w:cs="Arial"/>
          <w:sz w:val="21"/>
          <w:szCs w:val="21"/>
        </w:rPr>
        <w:t>A</w:t>
      </w:r>
      <w:r>
        <w:rPr>
          <w:rFonts w:ascii="Arial" w:hAnsi="Arial" w:cs="Arial"/>
          <w:sz w:val="21"/>
          <w:szCs w:val="21"/>
        </w:rPr>
        <w:t>所列化学品的进口和出口，但应与第</w:t>
      </w:r>
      <w:r>
        <w:rPr>
          <w:rFonts w:ascii="Arial" w:hAnsi="Arial" w:cs="Arial"/>
          <w:sz w:val="21"/>
          <w:szCs w:val="21"/>
        </w:rPr>
        <w:t>2</w:t>
      </w:r>
      <w:r>
        <w:rPr>
          <w:rFonts w:ascii="Arial" w:hAnsi="Arial" w:cs="Arial"/>
          <w:sz w:val="21"/>
          <w:szCs w:val="21"/>
        </w:rPr>
        <w:t>款的规定相一致；和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b</w:t>
      </w:r>
      <w:r>
        <w:rPr>
          <w:rFonts w:ascii="Arial" w:hAnsi="Arial" w:cs="Arial"/>
          <w:sz w:val="21"/>
          <w:szCs w:val="21"/>
        </w:rPr>
        <w:t>）依照附件</w:t>
      </w:r>
      <w:r>
        <w:rPr>
          <w:rFonts w:ascii="Arial" w:hAnsi="Arial" w:cs="Arial"/>
          <w:sz w:val="21"/>
          <w:szCs w:val="21"/>
        </w:rPr>
        <w:t>B</w:t>
      </w:r>
      <w:r>
        <w:rPr>
          <w:rFonts w:ascii="Arial" w:hAnsi="Arial" w:cs="Arial"/>
          <w:sz w:val="21"/>
          <w:szCs w:val="21"/>
        </w:rPr>
        <w:t>的规定限制该附件所列化学品的生产和使用。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、每一缔约方应采取措施确保：</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）对于附件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所列化学品，只有在下列情况下才予进口：</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）按第</w:t>
      </w:r>
      <w:r>
        <w:rPr>
          <w:rFonts w:ascii="Arial" w:hAnsi="Arial" w:cs="Arial"/>
          <w:sz w:val="21"/>
          <w:szCs w:val="21"/>
        </w:rPr>
        <w:t>6</w:t>
      </w:r>
      <w:r>
        <w:rPr>
          <w:rFonts w:ascii="Arial" w:hAnsi="Arial" w:cs="Arial"/>
          <w:sz w:val="21"/>
          <w:szCs w:val="21"/>
        </w:rPr>
        <w:t>条第</w:t>
      </w:r>
      <w:r>
        <w:rPr>
          <w:rFonts w:ascii="Arial" w:hAnsi="Arial" w:cs="Arial"/>
          <w:sz w:val="21"/>
          <w:szCs w:val="21"/>
        </w:rPr>
        <w:t>1</w:t>
      </w:r>
      <w:r>
        <w:rPr>
          <w:rFonts w:ascii="Arial" w:hAnsi="Arial" w:cs="Arial"/>
          <w:sz w:val="21"/>
          <w:szCs w:val="21"/>
        </w:rPr>
        <w:t>款（</w:t>
      </w:r>
      <w:r>
        <w:rPr>
          <w:rFonts w:ascii="Arial" w:hAnsi="Arial" w:cs="Arial"/>
          <w:sz w:val="21"/>
          <w:szCs w:val="21"/>
        </w:rPr>
        <w:t>d</w:t>
      </w:r>
      <w:r>
        <w:rPr>
          <w:rFonts w:ascii="Arial" w:hAnsi="Arial" w:cs="Arial"/>
          <w:sz w:val="21"/>
          <w:szCs w:val="21"/>
        </w:rPr>
        <w:t>）项规定为环境无害化处置进行的进口；或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规定准许该缔约方为某一用途或目的而进口；</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）对于目前在任何生产或使用方面享有特定豁免的附件</w:t>
      </w:r>
      <w:r>
        <w:rPr>
          <w:rFonts w:ascii="Arial" w:hAnsi="Arial" w:cs="Arial"/>
          <w:sz w:val="21"/>
          <w:szCs w:val="21"/>
        </w:rPr>
        <w:t>A</w:t>
      </w:r>
      <w:r>
        <w:rPr>
          <w:rFonts w:ascii="Arial" w:hAnsi="Arial" w:cs="Arial"/>
          <w:sz w:val="21"/>
          <w:szCs w:val="21"/>
        </w:rPr>
        <w:t>所列化学品，或目前在任何生产或使用方面享有特定豁免或符合可予接受用途的附件</w:t>
      </w:r>
      <w:r>
        <w:rPr>
          <w:rFonts w:ascii="Arial" w:hAnsi="Arial" w:cs="Arial"/>
          <w:sz w:val="21"/>
          <w:szCs w:val="21"/>
        </w:rPr>
        <w:t>B</w:t>
      </w:r>
      <w:r>
        <w:rPr>
          <w:rFonts w:ascii="Arial" w:hAnsi="Arial" w:cs="Arial"/>
          <w:sz w:val="21"/>
          <w:szCs w:val="21"/>
        </w:rPr>
        <w:t>所列化学品，在计及现行国际事先知情同意程序各条约所有相关规定的同时，只有在下列情况下才予出口：</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）按第</w:t>
      </w:r>
      <w:r>
        <w:rPr>
          <w:rFonts w:ascii="Arial" w:hAnsi="Arial" w:cs="Arial"/>
          <w:sz w:val="21"/>
          <w:szCs w:val="21"/>
        </w:rPr>
        <w:t>6</w:t>
      </w:r>
      <w:r>
        <w:rPr>
          <w:rFonts w:ascii="Arial" w:hAnsi="Arial" w:cs="Arial"/>
          <w:sz w:val="21"/>
          <w:szCs w:val="21"/>
        </w:rPr>
        <w:t>条第</w:t>
      </w:r>
      <w:r>
        <w:rPr>
          <w:rFonts w:ascii="Arial" w:hAnsi="Arial" w:cs="Arial"/>
          <w:sz w:val="21"/>
          <w:szCs w:val="21"/>
        </w:rPr>
        <w:t>1</w:t>
      </w:r>
      <w:r>
        <w:rPr>
          <w:rFonts w:ascii="Arial" w:hAnsi="Arial" w:cs="Arial"/>
          <w:sz w:val="21"/>
          <w:szCs w:val="21"/>
        </w:rPr>
        <w:t>款（</w:t>
      </w:r>
      <w:r>
        <w:rPr>
          <w:rFonts w:ascii="Arial" w:hAnsi="Arial" w:cs="Arial"/>
          <w:sz w:val="21"/>
          <w:szCs w:val="21"/>
        </w:rPr>
        <w:t>d</w:t>
      </w:r>
      <w:r>
        <w:rPr>
          <w:rFonts w:ascii="Arial" w:hAnsi="Arial" w:cs="Arial"/>
          <w:sz w:val="21"/>
          <w:szCs w:val="21"/>
        </w:rPr>
        <w:t>）项规定为环境无害化处置进行的出口；</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）出口到按附件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规定获准使用该化学品的某一缔约方；或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）向并非本公约缔约方、但已向出口缔约方提供了一份年度证书的国家出口。此种证书应具体列明所涉化学品的拟议用途，并表明该进口国家针对所进口的此种化学品承诺：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、采取必要措施减少或防止排放，从而保护人类健康和环境；</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、遵守第</w:t>
      </w:r>
      <w:r>
        <w:rPr>
          <w:rFonts w:ascii="Arial" w:hAnsi="Arial" w:cs="Arial"/>
          <w:sz w:val="21"/>
          <w:szCs w:val="21"/>
        </w:rPr>
        <w:t>6</w:t>
      </w:r>
      <w:r>
        <w:rPr>
          <w:rFonts w:ascii="Arial" w:hAnsi="Arial" w:cs="Arial"/>
          <w:sz w:val="21"/>
          <w:szCs w:val="21"/>
        </w:rPr>
        <w:t>条第</w:t>
      </w:r>
      <w:r>
        <w:rPr>
          <w:rFonts w:ascii="Arial" w:hAnsi="Arial" w:cs="Arial"/>
          <w:sz w:val="21"/>
          <w:szCs w:val="21"/>
        </w:rPr>
        <w:t>1</w:t>
      </w:r>
      <w:r>
        <w:rPr>
          <w:rFonts w:ascii="Arial" w:hAnsi="Arial" w:cs="Arial"/>
          <w:sz w:val="21"/>
          <w:szCs w:val="21"/>
        </w:rPr>
        <w:t>款的规定；和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、酌情遵守附件</w:t>
      </w:r>
      <w:r>
        <w:rPr>
          <w:rFonts w:ascii="Arial" w:hAnsi="Arial" w:cs="Arial"/>
          <w:sz w:val="21"/>
          <w:szCs w:val="21"/>
        </w:rPr>
        <w:t>B</w:t>
      </w:r>
      <w:r>
        <w:rPr>
          <w:rFonts w:ascii="Arial" w:hAnsi="Arial" w:cs="Arial"/>
          <w:sz w:val="21"/>
          <w:szCs w:val="21"/>
        </w:rPr>
        <w:t>第二部分第</w:t>
      </w:r>
      <w:r>
        <w:rPr>
          <w:rFonts w:ascii="Arial" w:hAnsi="Arial" w:cs="Arial"/>
          <w:sz w:val="21"/>
          <w:szCs w:val="21"/>
        </w:rPr>
        <w:t>2</w:t>
      </w:r>
      <w:r>
        <w:rPr>
          <w:rFonts w:ascii="Arial" w:hAnsi="Arial" w:cs="Arial"/>
          <w:sz w:val="21"/>
          <w:szCs w:val="21"/>
        </w:rPr>
        <w:t>款的规定。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此种证书中还应包括任何适当的辅助性文件，诸如立法、规章、行政或政策指南等。出口缔约方应自收到该证书之日起六十天内将之转交秘书处。</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）如附件</w:t>
      </w:r>
      <w:r>
        <w:rPr>
          <w:rFonts w:ascii="Arial" w:hAnsi="Arial" w:cs="Arial"/>
          <w:sz w:val="21"/>
          <w:szCs w:val="21"/>
        </w:rPr>
        <w:t>A</w:t>
      </w:r>
      <w:r>
        <w:rPr>
          <w:rFonts w:ascii="Arial" w:hAnsi="Arial" w:cs="Arial"/>
          <w:sz w:val="21"/>
          <w:szCs w:val="21"/>
        </w:rPr>
        <w:t>所列某一化学品生产和使用之特定豁免对于某一缔约方已不再有效，则不得从该缔约方出口此种化学品，除非其目的是按第</w:t>
      </w:r>
      <w:r>
        <w:rPr>
          <w:rFonts w:ascii="Arial" w:hAnsi="Arial" w:cs="Arial"/>
          <w:sz w:val="21"/>
          <w:szCs w:val="21"/>
        </w:rPr>
        <w:t>6</w:t>
      </w:r>
      <w:r>
        <w:rPr>
          <w:rFonts w:ascii="Arial" w:hAnsi="Arial" w:cs="Arial"/>
          <w:sz w:val="21"/>
          <w:szCs w:val="21"/>
        </w:rPr>
        <w:t>条第</w:t>
      </w:r>
      <w:r>
        <w:rPr>
          <w:rFonts w:ascii="Arial" w:hAnsi="Arial" w:cs="Arial"/>
          <w:sz w:val="21"/>
          <w:szCs w:val="21"/>
        </w:rPr>
        <w:t>1</w:t>
      </w:r>
      <w:r>
        <w:rPr>
          <w:rFonts w:ascii="Arial" w:hAnsi="Arial" w:cs="Arial"/>
          <w:sz w:val="21"/>
          <w:szCs w:val="21"/>
        </w:rPr>
        <w:t>款（</w:t>
      </w:r>
      <w:r>
        <w:rPr>
          <w:rFonts w:ascii="Arial" w:hAnsi="Arial" w:cs="Arial"/>
          <w:sz w:val="21"/>
          <w:szCs w:val="21"/>
        </w:rPr>
        <w:t>d</w:t>
      </w:r>
      <w:r>
        <w:rPr>
          <w:rFonts w:ascii="Arial" w:hAnsi="Arial" w:cs="Arial"/>
          <w:sz w:val="21"/>
          <w:szCs w:val="21"/>
        </w:rPr>
        <w:t>）项规定进行环境无害化处置；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）为本款的目的，</w:t>
      </w:r>
      <w:r>
        <w:rPr>
          <w:rFonts w:ascii="Arial" w:hAnsi="Arial" w:cs="Arial"/>
          <w:sz w:val="21"/>
          <w:szCs w:val="21"/>
        </w:rPr>
        <w:t>“</w:t>
      </w:r>
      <w:r>
        <w:rPr>
          <w:rFonts w:ascii="Arial" w:hAnsi="Arial" w:cs="Arial"/>
          <w:sz w:val="21"/>
          <w:szCs w:val="21"/>
        </w:rPr>
        <w:t>非本公约缔约方国家</w:t>
      </w:r>
      <w:r>
        <w:rPr>
          <w:rFonts w:ascii="Arial" w:hAnsi="Arial" w:cs="Arial"/>
          <w:sz w:val="21"/>
          <w:szCs w:val="21"/>
        </w:rPr>
        <w:t>”</w:t>
      </w:r>
      <w:r>
        <w:rPr>
          <w:rFonts w:ascii="Arial" w:hAnsi="Arial" w:cs="Arial"/>
          <w:sz w:val="21"/>
          <w:szCs w:val="21"/>
        </w:rPr>
        <w:t>一语，就某一特定化学品而言，应包括那些尚未同意就该化学品受本公约约束的国家或区域经济一体化组织。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、业已针对新型农药或新型工业化学品制订了一种或一种以上管制和评估方案的每一缔约方应采取措施，以预防为目的，对那些参照附件</w:t>
      </w:r>
      <w:r>
        <w:rPr>
          <w:rFonts w:ascii="Arial" w:hAnsi="Arial" w:cs="Arial"/>
          <w:sz w:val="21"/>
          <w:szCs w:val="21"/>
        </w:rPr>
        <w:t>D</w:t>
      </w:r>
      <w:r>
        <w:rPr>
          <w:rFonts w:ascii="Arial" w:hAnsi="Arial" w:cs="Arial"/>
          <w:sz w:val="21"/>
          <w:szCs w:val="21"/>
        </w:rPr>
        <w:t>第</w:t>
      </w:r>
      <w:r>
        <w:rPr>
          <w:rFonts w:ascii="Arial" w:hAnsi="Arial" w:cs="Arial"/>
          <w:sz w:val="21"/>
          <w:szCs w:val="21"/>
        </w:rPr>
        <w:t>1</w:t>
      </w:r>
      <w:r>
        <w:rPr>
          <w:rFonts w:ascii="Arial" w:hAnsi="Arial" w:cs="Arial"/>
          <w:sz w:val="21"/>
          <w:szCs w:val="21"/>
        </w:rPr>
        <w:t>款所列标准显示出持久性有机污染物特性的新型农药或新型工业化学品的生产和使用实行管制。</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、业已制订了关于农药和工业化学品的一种或一种以上管制和评估方案的每一缔约方应在对目前正在使用之中的农药和工业化学品进行评估时，酌情在这些方案中考虑到附件</w:t>
      </w:r>
      <w:r>
        <w:rPr>
          <w:rFonts w:ascii="Arial" w:hAnsi="Arial" w:cs="Arial"/>
          <w:sz w:val="21"/>
          <w:szCs w:val="21"/>
        </w:rPr>
        <w:t>D</w:t>
      </w:r>
      <w:r>
        <w:rPr>
          <w:rFonts w:ascii="Arial" w:hAnsi="Arial" w:cs="Arial"/>
          <w:sz w:val="21"/>
          <w:szCs w:val="21"/>
        </w:rPr>
        <w:t>第</w:t>
      </w:r>
      <w:r>
        <w:rPr>
          <w:rFonts w:ascii="Arial" w:hAnsi="Arial" w:cs="Arial"/>
          <w:sz w:val="21"/>
          <w:szCs w:val="21"/>
        </w:rPr>
        <w:t>1</w:t>
      </w:r>
      <w:r>
        <w:rPr>
          <w:rFonts w:ascii="Arial" w:hAnsi="Arial" w:cs="Arial"/>
          <w:sz w:val="21"/>
          <w:szCs w:val="21"/>
        </w:rPr>
        <w:t>款中所列标准。</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5</w:t>
      </w:r>
      <w:r>
        <w:rPr>
          <w:rFonts w:ascii="Arial" w:hAnsi="Arial" w:cs="Arial"/>
          <w:sz w:val="21"/>
          <w:szCs w:val="21"/>
        </w:rPr>
        <w:t>、除非本公约另有规定，第</w:t>
      </w:r>
      <w:r>
        <w:rPr>
          <w:rFonts w:ascii="Arial" w:hAnsi="Arial" w:cs="Arial"/>
          <w:sz w:val="21"/>
          <w:szCs w:val="21"/>
        </w:rPr>
        <w:t>1</w:t>
      </w:r>
      <w:r>
        <w:rPr>
          <w:rFonts w:ascii="Arial" w:hAnsi="Arial" w:cs="Arial"/>
          <w:sz w:val="21"/>
          <w:szCs w:val="21"/>
        </w:rPr>
        <w:t>和第</w:t>
      </w:r>
      <w:r>
        <w:rPr>
          <w:rFonts w:ascii="Arial" w:hAnsi="Arial" w:cs="Arial"/>
          <w:sz w:val="21"/>
          <w:szCs w:val="21"/>
        </w:rPr>
        <w:t>2</w:t>
      </w:r>
      <w:r>
        <w:rPr>
          <w:rFonts w:ascii="Arial" w:hAnsi="Arial" w:cs="Arial"/>
          <w:sz w:val="21"/>
          <w:szCs w:val="21"/>
        </w:rPr>
        <w:t>款不应适用于拟用于实验室规模的研究或用作参照标准的化学品。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6</w:t>
      </w:r>
      <w:r>
        <w:rPr>
          <w:rFonts w:ascii="Arial" w:hAnsi="Arial" w:cs="Arial"/>
          <w:sz w:val="21"/>
          <w:szCs w:val="21"/>
        </w:rPr>
        <w:t>、按照附件</w:t>
      </w:r>
      <w:r>
        <w:rPr>
          <w:rFonts w:ascii="Arial" w:hAnsi="Arial" w:cs="Arial"/>
          <w:sz w:val="21"/>
          <w:szCs w:val="21"/>
        </w:rPr>
        <w:t>A</w:t>
      </w:r>
      <w:r>
        <w:rPr>
          <w:rFonts w:ascii="Arial" w:hAnsi="Arial" w:cs="Arial"/>
          <w:sz w:val="21"/>
          <w:szCs w:val="21"/>
        </w:rPr>
        <w:t>享有某一特定豁免或按照附件</w:t>
      </w:r>
      <w:r>
        <w:rPr>
          <w:rFonts w:ascii="Arial" w:hAnsi="Arial" w:cs="Arial"/>
          <w:sz w:val="21"/>
          <w:szCs w:val="21"/>
        </w:rPr>
        <w:t>B</w:t>
      </w:r>
      <w:r>
        <w:rPr>
          <w:rFonts w:ascii="Arial" w:hAnsi="Arial" w:cs="Arial"/>
          <w:sz w:val="21"/>
          <w:szCs w:val="21"/>
        </w:rPr>
        <w:t>享有特定豁免或某一可接受用途的任何缔约方应采取适当措施，确保此种豁免或用途下的任何生产或使用都以防止或尽最大限度减少人类接触和向环境中排放的方式进行。对于涉及在正常使用条件下有意向环境中排放的任何豁免使用或可接受用途，应考虑到任何适用的标准和准则，把此种排放控制在最低程度。</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4</w:t>
      </w:r>
      <w:r>
        <w:rPr>
          <w:rFonts w:ascii="Arial" w:hAnsi="Arial" w:cs="Arial"/>
          <w:sz w:val="21"/>
          <w:szCs w:val="21"/>
        </w:rPr>
        <w:t>条</w:t>
      </w:r>
      <w:r>
        <w:rPr>
          <w:rFonts w:ascii="Arial" w:hAnsi="Arial" w:cs="Arial"/>
          <w:sz w:val="21"/>
          <w:szCs w:val="21"/>
        </w:rPr>
        <w:t xml:space="preserve"> </w:t>
      </w:r>
      <w:r>
        <w:rPr>
          <w:rFonts w:ascii="Arial" w:hAnsi="Arial" w:cs="Arial"/>
          <w:sz w:val="21"/>
          <w:szCs w:val="21"/>
        </w:rPr>
        <w:t>特定豁免登记</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、兹建立一个登记簿，用以列明享有附件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所列特定豁免的缔约方。登记簿不应用于列明那些对所有缔约方都适用的附件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规定的缔约方。登记簿应由秘书处负责保存并向公众开放。</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、登记簿应包括：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）从附件</w:t>
      </w:r>
      <w:r>
        <w:rPr>
          <w:rFonts w:ascii="Arial" w:hAnsi="Arial" w:cs="Arial"/>
          <w:sz w:val="21"/>
          <w:szCs w:val="21"/>
        </w:rPr>
        <w:t>A</w:t>
      </w:r>
      <w:r>
        <w:rPr>
          <w:rFonts w:ascii="Arial" w:hAnsi="Arial" w:cs="Arial"/>
          <w:sz w:val="21"/>
          <w:szCs w:val="21"/>
        </w:rPr>
        <w:t>和</w:t>
      </w:r>
      <w:r>
        <w:rPr>
          <w:rFonts w:ascii="Arial" w:hAnsi="Arial" w:cs="Arial"/>
          <w:sz w:val="21"/>
          <w:szCs w:val="21"/>
        </w:rPr>
        <w:t>B</w:t>
      </w:r>
      <w:r>
        <w:rPr>
          <w:rFonts w:ascii="Arial" w:hAnsi="Arial" w:cs="Arial"/>
          <w:sz w:val="21"/>
          <w:szCs w:val="21"/>
        </w:rPr>
        <w:t>中复制的特定豁免类型的清单；</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）享有附件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所列特定豁免的缔约方名单；和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）每一登记在册的特定豁免的终止日期清单。</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、任何国家均可在成为缔约方时，以向秘书处发出书面通知的形式，登记附件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所列一种或多种的特定豁免。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、除非一缔约方在登记簿中另立一更早终止日期，或依照下述第</w:t>
      </w:r>
      <w:r>
        <w:rPr>
          <w:rFonts w:ascii="Arial" w:hAnsi="Arial" w:cs="Arial"/>
          <w:sz w:val="21"/>
          <w:szCs w:val="21"/>
        </w:rPr>
        <w:t>7</w:t>
      </w:r>
      <w:r>
        <w:rPr>
          <w:rFonts w:ascii="Arial" w:hAnsi="Arial" w:cs="Arial"/>
          <w:sz w:val="21"/>
          <w:szCs w:val="21"/>
        </w:rPr>
        <w:t>款被准予续展，否则，就某一特定化学品而言，所有特定豁免登记的有效期均应自本公约生效之日起五年后终止。</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、缔约方大会第一次会议应就登记簿中条目的审查程序作出决定。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6</w:t>
      </w:r>
      <w:r>
        <w:rPr>
          <w:rFonts w:ascii="Arial" w:hAnsi="Arial" w:cs="Arial"/>
          <w:sz w:val="21"/>
          <w:szCs w:val="21"/>
        </w:rPr>
        <w:t>、在对登记簿中的条目进行审查之前，有关缔约方应向秘书处提交一份报告，说明其有必要继续得到该项豁免的理由。该报告应由秘书处分发给所有缔约方。应根据所得到的所有信息对所登记的各项豁免进行审查。缔约方大会可就此向所涉缔约方提出适当建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7</w:t>
      </w:r>
      <w:r>
        <w:rPr>
          <w:rFonts w:ascii="Arial" w:hAnsi="Arial" w:cs="Arial"/>
          <w:sz w:val="21"/>
          <w:szCs w:val="21"/>
        </w:rPr>
        <w:t>、缔约方大会可应所涉缔约方的请求，决定续展某一项特定豁免的终止日期，但最长不超过五年。缔约方大会在作出决定时，应适当地考虑到发展中国家缔约方和经济转型国家缔约方的特殊情况。</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8</w:t>
      </w:r>
      <w:r>
        <w:rPr>
          <w:rFonts w:ascii="Arial" w:hAnsi="Arial" w:cs="Arial"/>
          <w:sz w:val="21"/>
          <w:szCs w:val="21"/>
        </w:rPr>
        <w:t>、缔约方可随时向秘书处提交书面通知，从登记簿中撤销某一特定豁免条目。此种撤销应自该书面通知中所具体指定的日期开始生效。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9</w:t>
      </w:r>
      <w:r>
        <w:rPr>
          <w:rFonts w:ascii="Arial" w:hAnsi="Arial" w:cs="Arial"/>
          <w:sz w:val="21"/>
          <w:szCs w:val="21"/>
        </w:rPr>
        <w:t>、若某一特定类别的特定豁免已无任何登记在册的缔约方，则不得就该项豁免进行新的登记。</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第</w:t>
      </w:r>
      <w:r>
        <w:rPr>
          <w:rFonts w:ascii="Arial" w:hAnsi="Arial" w:cs="Arial"/>
          <w:sz w:val="21"/>
          <w:szCs w:val="21"/>
        </w:rPr>
        <w:t>5</w:t>
      </w:r>
      <w:r>
        <w:rPr>
          <w:rFonts w:ascii="Arial" w:hAnsi="Arial" w:cs="Arial"/>
          <w:sz w:val="21"/>
          <w:szCs w:val="21"/>
        </w:rPr>
        <w:t>条</w:t>
      </w:r>
      <w:r>
        <w:rPr>
          <w:rFonts w:ascii="Arial" w:hAnsi="Arial" w:cs="Arial"/>
          <w:sz w:val="21"/>
          <w:szCs w:val="21"/>
        </w:rPr>
        <w:t xml:space="preserve"> </w:t>
      </w:r>
      <w:r>
        <w:rPr>
          <w:rFonts w:ascii="Arial" w:hAnsi="Arial" w:cs="Arial"/>
          <w:sz w:val="21"/>
          <w:szCs w:val="21"/>
        </w:rPr>
        <w:t>减少或消除源自无意生产的排放的措施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每一缔约方应至少采取下列措施以减少附件</w:t>
      </w:r>
      <w:r>
        <w:rPr>
          <w:rFonts w:ascii="Arial" w:hAnsi="Arial" w:cs="Arial"/>
          <w:sz w:val="21"/>
          <w:szCs w:val="21"/>
        </w:rPr>
        <w:t>C</w:t>
      </w:r>
      <w:r>
        <w:rPr>
          <w:rFonts w:ascii="Arial" w:hAnsi="Arial" w:cs="Arial"/>
          <w:sz w:val="21"/>
          <w:szCs w:val="21"/>
        </w:rPr>
        <w:t>中所列的每一类化学物质的人为来源的排放总量，其目的是持续减少并在可行的情况下最终消除此类化学品：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）自本公约对该缔约方生效之日起两年内，作为第</w:t>
      </w:r>
      <w:r>
        <w:rPr>
          <w:rFonts w:ascii="Arial" w:hAnsi="Arial" w:cs="Arial"/>
          <w:sz w:val="21"/>
          <w:szCs w:val="21"/>
        </w:rPr>
        <w:t>7</w:t>
      </w:r>
      <w:r>
        <w:rPr>
          <w:rFonts w:ascii="Arial" w:hAnsi="Arial" w:cs="Arial"/>
          <w:sz w:val="21"/>
          <w:szCs w:val="21"/>
        </w:rPr>
        <w:t>条中所列明的实施计划的一个组成部分，制订并实施一项旨在查明附件</w:t>
      </w:r>
      <w:r>
        <w:rPr>
          <w:rFonts w:ascii="Arial" w:hAnsi="Arial" w:cs="Arial"/>
          <w:sz w:val="21"/>
          <w:szCs w:val="21"/>
        </w:rPr>
        <w:t>C</w:t>
      </w:r>
      <w:r>
        <w:rPr>
          <w:rFonts w:ascii="Arial" w:hAnsi="Arial" w:cs="Arial"/>
          <w:sz w:val="21"/>
          <w:szCs w:val="21"/>
        </w:rPr>
        <w:t>中所列化学物质的排放并说明其特点和予以处理、以及便利实施以下第（</w:t>
      </w:r>
      <w:r>
        <w:rPr>
          <w:rFonts w:ascii="Arial" w:hAnsi="Arial" w:cs="Arial"/>
          <w:sz w:val="21"/>
          <w:szCs w:val="21"/>
        </w:rPr>
        <w:t>b</w:t>
      </w:r>
      <w:r>
        <w:rPr>
          <w:rFonts w:ascii="Arial" w:hAnsi="Arial" w:cs="Arial"/>
          <w:sz w:val="21"/>
          <w:szCs w:val="21"/>
        </w:rPr>
        <w:t>）至（</w:t>
      </w:r>
      <w:r>
        <w:rPr>
          <w:rFonts w:ascii="Arial" w:hAnsi="Arial" w:cs="Arial"/>
          <w:sz w:val="21"/>
          <w:szCs w:val="21"/>
        </w:rPr>
        <w:t>e</w:t>
      </w:r>
      <w:r>
        <w:rPr>
          <w:rFonts w:ascii="Arial" w:hAnsi="Arial" w:cs="Arial"/>
          <w:sz w:val="21"/>
          <w:szCs w:val="21"/>
        </w:rPr>
        <w:t>）项所规定的行动计划，或酌情制订和实施一项区域或分区域行动计划。此种行动计划应包括下列内容：</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）考虑到附件</w:t>
      </w:r>
      <w:r>
        <w:rPr>
          <w:rFonts w:ascii="Arial" w:hAnsi="Arial" w:cs="Arial"/>
          <w:sz w:val="21"/>
          <w:szCs w:val="21"/>
        </w:rPr>
        <w:t>C</w:t>
      </w:r>
      <w:r>
        <w:rPr>
          <w:rFonts w:ascii="Arial" w:hAnsi="Arial" w:cs="Arial"/>
          <w:sz w:val="21"/>
          <w:szCs w:val="21"/>
        </w:rPr>
        <w:t>所确定的来源类别，对目前和预计的排放进行的评估，包括编制和保持排放来源清册和对排放量进行估算；</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）评估该缔约方对此种排放实行管理的有关法律和政策的成效；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）考虑到本项第（</w:t>
      </w:r>
      <w:r>
        <w:rPr>
          <w:rFonts w:ascii="Arial" w:hAnsi="Arial" w:cs="Arial"/>
          <w:sz w:val="21"/>
          <w:szCs w:val="21"/>
        </w:rPr>
        <w:t>i</w:t>
      </w:r>
      <w:r>
        <w:rPr>
          <w:rFonts w:ascii="Arial" w:hAnsi="Arial" w:cs="Arial"/>
          <w:sz w:val="21"/>
          <w:szCs w:val="21"/>
        </w:rPr>
        <w:t>）和（</w:t>
      </w:r>
      <w:r>
        <w:rPr>
          <w:rFonts w:ascii="Arial" w:hAnsi="Arial" w:cs="Arial"/>
          <w:sz w:val="21"/>
          <w:szCs w:val="21"/>
        </w:rPr>
        <w:t>ii</w:t>
      </w:r>
      <w:r>
        <w:rPr>
          <w:rFonts w:ascii="Arial" w:hAnsi="Arial" w:cs="Arial"/>
          <w:sz w:val="21"/>
          <w:szCs w:val="21"/>
        </w:rPr>
        <w:t>）目所规定的评估，制定旨在履行本款所规定的义务的战略；</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）旨在促进这些战略的教育、培训和提高认识的措施；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w:t>
      </w:r>
      <w:r>
        <w:rPr>
          <w:rFonts w:ascii="Arial" w:hAnsi="Arial" w:cs="Arial"/>
          <w:sz w:val="21"/>
          <w:szCs w:val="21"/>
        </w:rPr>
        <w:t>）每五年对这些战略及其在履行本款所规定义务方面的成效进行审查，并将审查情况列入依照第</w:t>
      </w:r>
      <w:r>
        <w:rPr>
          <w:rFonts w:ascii="Arial" w:hAnsi="Arial" w:cs="Arial"/>
          <w:sz w:val="21"/>
          <w:szCs w:val="21"/>
        </w:rPr>
        <w:t>15</w:t>
      </w:r>
      <w:r>
        <w:rPr>
          <w:rFonts w:ascii="Arial" w:hAnsi="Arial" w:cs="Arial"/>
          <w:sz w:val="21"/>
          <w:szCs w:val="21"/>
        </w:rPr>
        <w:t>条提交的报告之中；</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vi</w:t>
      </w:r>
      <w:r>
        <w:rPr>
          <w:rFonts w:ascii="Arial" w:hAnsi="Arial" w:cs="Arial"/>
          <w:sz w:val="21"/>
          <w:szCs w:val="21"/>
        </w:rPr>
        <w:t>）实施这一行动计划，包括其中列明的各种战略和措施的时间表。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）促进实行可尽快实现切实有效的方式切实减少排放量或消除排放源的可行和切合实际的措施；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）考虑到附件</w:t>
      </w:r>
      <w:r>
        <w:rPr>
          <w:rFonts w:ascii="Arial" w:hAnsi="Arial" w:cs="Arial"/>
          <w:sz w:val="21"/>
          <w:szCs w:val="21"/>
        </w:rPr>
        <w:t>C</w:t>
      </w:r>
      <w:r>
        <w:rPr>
          <w:rFonts w:ascii="Arial" w:hAnsi="Arial" w:cs="Arial"/>
          <w:sz w:val="21"/>
          <w:szCs w:val="21"/>
        </w:rPr>
        <w:t>中关于防止和减少排放措施的一般性指南和拟由缔约方大会决定通过的准则，促进开发和酌情规定使用替代或改良的材料、产品和工艺，以防止附件</w:t>
      </w:r>
      <w:r>
        <w:rPr>
          <w:rFonts w:ascii="Arial" w:hAnsi="Arial" w:cs="Arial"/>
          <w:sz w:val="21"/>
          <w:szCs w:val="21"/>
        </w:rPr>
        <w:t>C</w:t>
      </w:r>
      <w:r>
        <w:rPr>
          <w:rFonts w:ascii="Arial" w:hAnsi="Arial" w:cs="Arial"/>
          <w:sz w:val="21"/>
          <w:szCs w:val="21"/>
        </w:rPr>
        <w:t>中所列化学品的生成和排放；</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）按照行动计划的实施时间表，促进并要求针对来源类别中缔约方认定有必要在其行动计划内对之采取此种行动的新来源采用最佳可行技术，同时在初期尤应注重附件</w:t>
      </w:r>
      <w:r>
        <w:rPr>
          <w:rFonts w:ascii="Arial" w:hAnsi="Arial" w:cs="Arial"/>
          <w:sz w:val="21"/>
          <w:szCs w:val="21"/>
        </w:rPr>
        <w:t>C</w:t>
      </w:r>
      <w:r>
        <w:rPr>
          <w:rFonts w:ascii="Arial" w:hAnsi="Arial" w:cs="Arial"/>
          <w:sz w:val="21"/>
          <w:szCs w:val="21"/>
        </w:rPr>
        <w:t>第二部分所确定的来源类别。对于该附件第二部分所列类别中的新来源的最佳可行技术的使用，应尽快、并在不迟于本公约对该缔约方生效之日起四年内分阶段实施。就所确定的类别而言，各缔约方应促进采用最佳环境实践。在采用最佳可行技术和最佳环境实践时，各缔约方应考虑到附件</w:t>
      </w:r>
      <w:r>
        <w:rPr>
          <w:rFonts w:ascii="Arial" w:hAnsi="Arial" w:cs="Arial"/>
          <w:sz w:val="21"/>
          <w:szCs w:val="21"/>
        </w:rPr>
        <w:t>C</w:t>
      </w:r>
      <w:r>
        <w:rPr>
          <w:rFonts w:ascii="Arial" w:hAnsi="Arial" w:cs="Arial"/>
          <w:sz w:val="21"/>
          <w:szCs w:val="21"/>
        </w:rPr>
        <w:t>关于防止和减少排放措施的一般性指南和拟由缔约方大会决定予以通过的关于最佳可行技术和最佳环境实践的指南；</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）依据其行动计划，针对以下来源，促进采用最佳可行技术和最佳环境实践：</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）附件</w:t>
      </w:r>
      <w:r>
        <w:rPr>
          <w:rFonts w:ascii="Arial" w:hAnsi="Arial" w:cs="Arial"/>
          <w:sz w:val="21"/>
          <w:szCs w:val="21"/>
        </w:rPr>
        <w:t>C</w:t>
      </w:r>
      <w:r>
        <w:rPr>
          <w:rFonts w:ascii="Arial" w:hAnsi="Arial" w:cs="Arial"/>
          <w:sz w:val="21"/>
          <w:szCs w:val="21"/>
        </w:rPr>
        <w:t>第二部分所列来源类别范围内以及诸如附件</w:t>
      </w:r>
      <w:r>
        <w:rPr>
          <w:rFonts w:ascii="Arial" w:hAnsi="Arial" w:cs="Arial"/>
          <w:sz w:val="21"/>
          <w:szCs w:val="21"/>
        </w:rPr>
        <w:t>C</w:t>
      </w:r>
      <w:r>
        <w:rPr>
          <w:rFonts w:ascii="Arial" w:hAnsi="Arial" w:cs="Arial"/>
          <w:sz w:val="21"/>
          <w:szCs w:val="21"/>
        </w:rPr>
        <w:t>第三部分所列来源类别范围内的各种现有来源；</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ii</w:t>
      </w:r>
      <w:r>
        <w:rPr>
          <w:rFonts w:ascii="Arial" w:hAnsi="Arial" w:cs="Arial"/>
          <w:sz w:val="21"/>
          <w:szCs w:val="21"/>
        </w:rPr>
        <w:t>）诸如附件</w:t>
      </w:r>
      <w:r>
        <w:rPr>
          <w:rFonts w:ascii="Arial" w:hAnsi="Arial" w:cs="Arial"/>
          <w:sz w:val="21"/>
          <w:szCs w:val="21"/>
        </w:rPr>
        <w:t>C</w:t>
      </w:r>
      <w:r>
        <w:rPr>
          <w:rFonts w:ascii="Arial" w:hAnsi="Arial" w:cs="Arial"/>
          <w:sz w:val="21"/>
          <w:szCs w:val="21"/>
        </w:rPr>
        <w:t>第三部分中所列来源类别中任一缔约方尚未依据本款（</w:t>
      </w:r>
      <w:r>
        <w:rPr>
          <w:rFonts w:ascii="Arial" w:hAnsi="Arial" w:cs="Arial"/>
          <w:sz w:val="21"/>
          <w:szCs w:val="21"/>
        </w:rPr>
        <w:t>d</w:t>
      </w:r>
      <w:r>
        <w:rPr>
          <w:rFonts w:ascii="Arial" w:hAnsi="Arial" w:cs="Arial"/>
          <w:sz w:val="21"/>
          <w:szCs w:val="21"/>
        </w:rPr>
        <w:t>）项予以处理的各种新来源。</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在采用最佳可行技术和最佳环境实践时，缔约方应考虑到附件</w:t>
      </w:r>
      <w:r>
        <w:rPr>
          <w:rFonts w:ascii="Arial" w:hAnsi="Arial" w:cs="Arial"/>
          <w:sz w:val="21"/>
          <w:szCs w:val="21"/>
        </w:rPr>
        <w:t>C</w:t>
      </w:r>
      <w:r>
        <w:rPr>
          <w:rFonts w:ascii="Arial" w:hAnsi="Arial" w:cs="Arial"/>
          <w:sz w:val="21"/>
          <w:szCs w:val="21"/>
        </w:rPr>
        <w:t>中所列关于防止和减少排放措施的一般性指南和拟由缔约方大会决定予以通过的关于最佳可行技术和最佳环境实践的指南。</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f</w:t>
      </w:r>
      <w:r>
        <w:rPr>
          <w:rFonts w:ascii="Arial" w:hAnsi="Arial" w:cs="Arial"/>
          <w:sz w:val="21"/>
          <w:szCs w:val="21"/>
        </w:rPr>
        <w:t>）为了本款和附件</w:t>
      </w:r>
      <w:r>
        <w:rPr>
          <w:rFonts w:ascii="Arial" w:hAnsi="Arial" w:cs="Arial"/>
          <w:sz w:val="21"/>
          <w:szCs w:val="21"/>
        </w:rPr>
        <w:t>C</w:t>
      </w:r>
      <w:r>
        <w:rPr>
          <w:rFonts w:ascii="Arial" w:hAnsi="Arial" w:cs="Arial"/>
          <w:sz w:val="21"/>
          <w:szCs w:val="21"/>
        </w:rPr>
        <w:t>之目的：</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w:t>
      </w:r>
      <w:r>
        <w:rPr>
          <w:rFonts w:ascii="Arial" w:hAnsi="Arial" w:cs="Arial"/>
          <w:sz w:val="21"/>
          <w:szCs w:val="21"/>
        </w:rPr>
        <w:t>“</w:t>
      </w:r>
      <w:r>
        <w:rPr>
          <w:rFonts w:ascii="Arial" w:hAnsi="Arial" w:cs="Arial"/>
          <w:sz w:val="21"/>
          <w:szCs w:val="21"/>
        </w:rPr>
        <w:t>最佳可行技术</w:t>
      </w:r>
      <w:r>
        <w:rPr>
          <w:rFonts w:ascii="Arial" w:hAnsi="Arial" w:cs="Arial"/>
          <w:sz w:val="21"/>
          <w:szCs w:val="21"/>
        </w:rPr>
        <w:t>”</w:t>
      </w:r>
      <w:r>
        <w:rPr>
          <w:rFonts w:ascii="Arial" w:hAnsi="Arial" w:cs="Arial"/>
          <w:sz w:val="21"/>
          <w:szCs w:val="21"/>
        </w:rPr>
        <w:t>是指所开展的活动及其运作方式已达到最有效和最先进的阶段，从而表明该特定技术原则上具有切实适宜性，可为旨在防止和在难以切实可行地防止时，从总体上减少附件</w:t>
      </w:r>
      <w:r>
        <w:rPr>
          <w:rFonts w:ascii="Arial" w:hAnsi="Arial" w:cs="Arial"/>
          <w:sz w:val="21"/>
          <w:szCs w:val="21"/>
        </w:rPr>
        <w:t>C</w:t>
      </w:r>
      <w:r>
        <w:rPr>
          <w:rFonts w:ascii="Arial" w:hAnsi="Arial" w:cs="Arial"/>
          <w:sz w:val="21"/>
          <w:szCs w:val="21"/>
        </w:rPr>
        <w:t>第一部分中所列化学品的排放及其对整个环境的影响的限制排放奠定基础。在此方面：</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w:t>
      </w:r>
      <w:r>
        <w:rPr>
          <w:rFonts w:ascii="Arial" w:hAnsi="Arial" w:cs="Arial"/>
          <w:sz w:val="21"/>
          <w:szCs w:val="21"/>
        </w:rPr>
        <w:t>“</w:t>
      </w:r>
      <w:r>
        <w:rPr>
          <w:rFonts w:ascii="Arial" w:hAnsi="Arial" w:cs="Arial"/>
          <w:sz w:val="21"/>
          <w:szCs w:val="21"/>
        </w:rPr>
        <w:t>技术</w:t>
      </w:r>
      <w:r>
        <w:rPr>
          <w:rFonts w:ascii="Arial" w:hAnsi="Arial" w:cs="Arial"/>
          <w:sz w:val="21"/>
          <w:szCs w:val="21"/>
        </w:rPr>
        <w:t>”</w:t>
      </w:r>
      <w:r>
        <w:rPr>
          <w:rFonts w:ascii="Arial" w:hAnsi="Arial" w:cs="Arial"/>
          <w:sz w:val="21"/>
          <w:szCs w:val="21"/>
        </w:rPr>
        <w:t>包括所采用的技术以及所涉装置的设计、建造、维护、运行和淘汰的方式；</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w:t>
      </w:r>
      <w:r>
        <w:rPr>
          <w:rFonts w:ascii="Arial" w:hAnsi="Arial" w:cs="Arial"/>
          <w:sz w:val="21"/>
          <w:szCs w:val="21"/>
        </w:rPr>
        <w:t>“</w:t>
      </w:r>
      <w:r>
        <w:rPr>
          <w:rFonts w:ascii="Arial" w:hAnsi="Arial" w:cs="Arial"/>
          <w:sz w:val="21"/>
          <w:szCs w:val="21"/>
        </w:rPr>
        <w:t>可行</w:t>
      </w:r>
      <w:r>
        <w:rPr>
          <w:rFonts w:ascii="Arial" w:hAnsi="Arial" w:cs="Arial"/>
          <w:sz w:val="21"/>
          <w:szCs w:val="21"/>
        </w:rPr>
        <w:t>”</w:t>
      </w:r>
      <w:r>
        <w:rPr>
          <w:rFonts w:ascii="Arial" w:hAnsi="Arial" w:cs="Arial"/>
          <w:sz w:val="21"/>
          <w:szCs w:val="21"/>
        </w:rPr>
        <w:t>技术是指应用者能够获得的、在一定规模上开发出来的、并基于其成本和效益的考虑、在可靠的经济和技术条件下可在相关工业部门中采用的技术；和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w:t>
      </w:r>
      <w:r>
        <w:rPr>
          <w:rFonts w:ascii="Arial" w:hAnsi="Arial" w:cs="Arial"/>
          <w:sz w:val="21"/>
          <w:szCs w:val="21"/>
        </w:rPr>
        <w:t>“</w:t>
      </w:r>
      <w:r>
        <w:rPr>
          <w:rFonts w:ascii="Arial" w:hAnsi="Arial" w:cs="Arial"/>
          <w:sz w:val="21"/>
          <w:szCs w:val="21"/>
        </w:rPr>
        <w:t>最佳</w:t>
      </w:r>
      <w:r>
        <w:rPr>
          <w:rFonts w:ascii="Arial" w:hAnsi="Arial" w:cs="Arial"/>
          <w:sz w:val="21"/>
          <w:szCs w:val="21"/>
        </w:rPr>
        <w:t>”</w:t>
      </w:r>
      <w:r>
        <w:rPr>
          <w:rFonts w:ascii="Arial" w:hAnsi="Arial" w:cs="Arial"/>
          <w:sz w:val="21"/>
          <w:szCs w:val="21"/>
        </w:rPr>
        <w:t>是指对整个环境实行高水平全面保护的最有效性。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w:t>
      </w:r>
      <w:r>
        <w:rPr>
          <w:rFonts w:ascii="Arial" w:hAnsi="Arial" w:cs="Arial"/>
          <w:sz w:val="21"/>
          <w:szCs w:val="21"/>
        </w:rPr>
        <w:t>）</w:t>
      </w:r>
      <w:r>
        <w:rPr>
          <w:rFonts w:ascii="Arial" w:hAnsi="Arial" w:cs="Arial"/>
          <w:sz w:val="21"/>
          <w:szCs w:val="21"/>
        </w:rPr>
        <w:t>“</w:t>
      </w:r>
      <w:r>
        <w:rPr>
          <w:rFonts w:ascii="Arial" w:hAnsi="Arial" w:cs="Arial"/>
          <w:sz w:val="21"/>
          <w:szCs w:val="21"/>
        </w:rPr>
        <w:t>最佳环境实践</w:t>
      </w:r>
      <w:r>
        <w:rPr>
          <w:rFonts w:ascii="Arial" w:hAnsi="Arial" w:cs="Arial"/>
          <w:sz w:val="21"/>
          <w:szCs w:val="21"/>
        </w:rPr>
        <w:t>”</w:t>
      </w:r>
      <w:r>
        <w:rPr>
          <w:rFonts w:ascii="Arial" w:hAnsi="Arial" w:cs="Arial"/>
          <w:sz w:val="21"/>
          <w:szCs w:val="21"/>
        </w:rPr>
        <w:t>是指环境控制措施和战略的最适当组合方式的应用。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vi</w:t>
      </w:r>
      <w:r>
        <w:rPr>
          <w:rFonts w:ascii="Arial" w:hAnsi="Arial" w:cs="Arial"/>
          <w:sz w:val="21"/>
          <w:szCs w:val="21"/>
        </w:rPr>
        <w:t>）</w:t>
      </w:r>
      <w:r>
        <w:rPr>
          <w:rFonts w:ascii="Arial" w:hAnsi="Arial" w:cs="Arial"/>
          <w:sz w:val="21"/>
          <w:szCs w:val="21"/>
        </w:rPr>
        <w:t>“</w:t>
      </w:r>
      <w:r>
        <w:rPr>
          <w:rFonts w:ascii="Arial" w:hAnsi="Arial" w:cs="Arial"/>
          <w:sz w:val="21"/>
          <w:szCs w:val="21"/>
        </w:rPr>
        <w:t>新的来源</w:t>
      </w:r>
      <w:r>
        <w:rPr>
          <w:rFonts w:ascii="Arial" w:hAnsi="Arial" w:cs="Arial"/>
          <w:sz w:val="21"/>
          <w:szCs w:val="21"/>
        </w:rPr>
        <w:t>”</w:t>
      </w:r>
      <w:r>
        <w:rPr>
          <w:rFonts w:ascii="Arial" w:hAnsi="Arial" w:cs="Arial"/>
          <w:sz w:val="21"/>
          <w:szCs w:val="21"/>
        </w:rPr>
        <w:t>是指至少自下列日期起一年之后建造或发生实质性改变的任何来源：</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、本公约对所涉缔约方生效之日；或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、附件</w:t>
      </w:r>
      <w:r>
        <w:rPr>
          <w:rFonts w:ascii="Arial" w:hAnsi="Arial" w:cs="Arial"/>
          <w:sz w:val="21"/>
          <w:szCs w:val="21"/>
        </w:rPr>
        <w:t>C</w:t>
      </w:r>
      <w:r>
        <w:rPr>
          <w:rFonts w:ascii="Arial" w:hAnsi="Arial" w:cs="Arial"/>
          <w:sz w:val="21"/>
          <w:szCs w:val="21"/>
        </w:rPr>
        <w:t>的修正对所涉缔约方生效之日、且所涉来源仅因该项修正而受本公约规定的约束。</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g</w:t>
      </w:r>
      <w:r>
        <w:rPr>
          <w:rFonts w:ascii="Arial" w:hAnsi="Arial" w:cs="Arial"/>
          <w:sz w:val="21"/>
          <w:szCs w:val="21"/>
        </w:rPr>
        <w:t>）缔约方可使用排放限值或运行标准来履行其依照本款在最佳可行技术方面所作出的承诺。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6</w:t>
      </w:r>
      <w:r>
        <w:rPr>
          <w:rFonts w:ascii="Arial" w:hAnsi="Arial" w:cs="Arial"/>
          <w:sz w:val="21"/>
          <w:szCs w:val="21"/>
        </w:rPr>
        <w:t>条</w:t>
      </w:r>
      <w:r>
        <w:rPr>
          <w:rFonts w:ascii="Arial" w:hAnsi="Arial" w:cs="Arial"/>
          <w:sz w:val="21"/>
          <w:szCs w:val="21"/>
        </w:rPr>
        <w:t xml:space="preserve"> </w:t>
      </w:r>
      <w:r>
        <w:rPr>
          <w:rFonts w:ascii="Arial" w:hAnsi="Arial" w:cs="Arial"/>
          <w:sz w:val="21"/>
          <w:szCs w:val="21"/>
        </w:rPr>
        <w:t>减少或消除源自库存和废物的排放的措施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、为确保以保护人类健康和环境的方式对由附件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所列化学品构成或含有此类化学品的库存、和由附件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或</w:t>
      </w:r>
      <w:r>
        <w:rPr>
          <w:rFonts w:ascii="Arial" w:hAnsi="Arial" w:cs="Arial"/>
          <w:sz w:val="21"/>
          <w:szCs w:val="21"/>
        </w:rPr>
        <w:t>C</w:t>
      </w:r>
      <w:r>
        <w:rPr>
          <w:rFonts w:ascii="Arial" w:hAnsi="Arial" w:cs="Arial"/>
          <w:sz w:val="21"/>
          <w:szCs w:val="21"/>
        </w:rPr>
        <w:t>所列某化学品构成、含有此化学品或受其污染的废物，包括即将变成废物的产品和物品实施管理，每一缔约方应：</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）制订适当战略以便查明：</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）由附件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所列化学品构成或含有此类化学品的库存；和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ii</w:t>
      </w:r>
      <w:r>
        <w:rPr>
          <w:rFonts w:ascii="Arial" w:hAnsi="Arial" w:cs="Arial"/>
          <w:sz w:val="21"/>
          <w:szCs w:val="21"/>
        </w:rPr>
        <w:t>）由附件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或</w:t>
      </w:r>
      <w:r>
        <w:rPr>
          <w:rFonts w:ascii="Arial" w:hAnsi="Arial" w:cs="Arial"/>
          <w:sz w:val="21"/>
          <w:szCs w:val="21"/>
        </w:rPr>
        <w:t>C</w:t>
      </w:r>
      <w:r>
        <w:rPr>
          <w:rFonts w:ascii="Arial" w:hAnsi="Arial" w:cs="Arial"/>
          <w:sz w:val="21"/>
          <w:szCs w:val="21"/>
        </w:rPr>
        <w:t>所列某化学品构成、含有此化学品或受其污染的正在使用中的产品和物品以及废物；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）根据（</w:t>
      </w:r>
      <w:r>
        <w:rPr>
          <w:rFonts w:ascii="Arial" w:hAnsi="Arial" w:cs="Arial"/>
          <w:sz w:val="21"/>
          <w:szCs w:val="21"/>
        </w:rPr>
        <w:t>a</w:t>
      </w:r>
      <w:r>
        <w:rPr>
          <w:rFonts w:ascii="Arial" w:hAnsi="Arial" w:cs="Arial"/>
          <w:sz w:val="21"/>
          <w:szCs w:val="21"/>
        </w:rPr>
        <w:t>）项所提及的战略，尽可能切实可行地查明由附件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所列化学品构成或含有此类化学品的库存；</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）酌情以安全、有效和环境无害化的方式管理库存。除根据第</w:t>
      </w:r>
      <w:r>
        <w:rPr>
          <w:rFonts w:ascii="Arial" w:hAnsi="Arial" w:cs="Arial"/>
          <w:sz w:val="21"/>
          <w:szCs w:val="21"/>
        </w:rPr>
        <w:t>3</w:t>
      </w:r>
      <w:r>
        <w:rPr>
          <w:rFonts w:ascii="Arial" w:hAnsi="Arial" w:cs="Arial"/>
          <w:sz w:val="21"/>
          <w:szCs w:val="21"/>
        </w:rPr>
        <w:t>条第</w:t>
      </w:r>
      <w:r>
        <w:rPr>
          <w:rFonts w:ascii="Arial" w:hAnsi="Arial" w:cs="Arial"/>
          <w:sz w:val="21"/>
          <w:szCs w:val="21"/>
        </w:rPr>
        <w:t>2</w:t>
      </w:r>
      <w:r>
        <w:rPr>
          <w:rFonts w:ascii="Arial" w:hAnsi="Arial" w:cs="Arial"/>
          <w:sz w:val="21"/>
          <w:szCs w:val="21"/>
        </w:rPr>
        <w:t>款允许出口的库存之外，附件</w:t>
      </w:r>
      <w:r>
        <w:rPr>
          <w:rFonts w:ascii="Arial" w:hAnsi="Arial" w:cs="Arial"/>
          <w:sz w:val="21"/>
          <w:szCs w:val="21"/>
        </w:rPr>
        <w:t>A</w:t>
      </w:r>
      <w:r>
        <w:rPr>
          <w:rFonts w:ascii="Arial" w:hAnsi="Arial" w:cs="Arial"/>
          <w:sz w:val="21"/>
          <w:szCs w:val="21"/>
        </w:rPr>
        <w:t>或</w:t>
      </w:r>
      <w:r>
        <w:rPr>
          <w:rFonts w:ascii="Arial" w:hAnsi="Arial" w:cs="Arial"/>
          <w:sz w:val="21"/>
          <w:szCs w:val="21"/>
        </w:rPr>
        <w:t>B</w:t>
      </w:r>
      <w:r>
        <w:rPr>
          <w:rFonts w:ascii="Arial" w:hAnsi="Arial" w:cs="Arial"/>
          <w:sz w:val="21"/>
          <w:szCs w:val="21"/>
        </w:rPr>
        <w:t>所列化学品的库存，在按照附件</w:t>
      </w:r>
      <w:r>
        <w:rPr>
          <w:rFonts w:ascii="Arial" w:hAnsi="Arial" w:cs="Arial"/>
          <w:sz w:val="21"/>
          <w:szCs w:val="21"/>
        </w:rPr>
        <w:t>A</w:t>
      </w:r>
      <w:r>
        <w:rPr>
          <w:rFonts w:ascii="Arial" w:hAnsi="Arial" w:cs="Arial"/>
          <w:sz w:val="21"/>
          <w:szCs w:val="21"/>
        </w:rPr>
        <w:t>所列任何特定豁免或附件</w:t>
      </w:r>
      <w:r>
        <w:rPr>
          <w:rFonts w:ascii="Arial" w:hAnsi="Arial" w:cs="Arial"/>
          <w:sz w:val="21"/>
          <w:szCs w:val="21"/>
        </w:rPr>
        <w:t>B</w:t>
      </w:r>
      <w:r>
        <w:rPr>
          <w:rFonts w:ascii="Arial" w:hAnsi="Arial" w:cs="Arial"/>
          <w:sz w:val="21"/>
          <w:szCs w:val="21"/>
        </w:rPr>
        <w:t>所列特定豁免或可接受的用途已不再允许其使用之后，应被视为废物并应按照以下（</w:t>
      </w:r>
      <w:r>
        <w:rPr>
          <w:rFonts w:ascii="Arial" w:hAnsi="Arial" w:cs="Arial"/>
          <w:sz w:val="21"/>
          <w:szCs w:val="21"/>
        </w:rPr>
        <w:t>d</w:t>
      </w:r>
      <w:r>
        <w:rPr>
          <w:rFonts w:ascii="Arial" w:hAnsi="Arial" w:cs="Arial"/>
          <w:sz w:val="21"/>
          <w:szCs w:val="21"/>
        </w:rPr>
        <w:t>）项加以管理；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）采取适当措施，以确保此类废物、包括即将成为废物的产品和物品：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）以环境无害化的方式予以处置、收集、运输和储存；</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以销毁其持久性有机污染物成分或使之发生永久质变的方式予以处置，从而使之不再显示出持久性有机污染物的特性；或在永久质变并非可取的环境备选方法或在其持久性有机污染物含量低的情况下，考虑到国际规则、标准和指南、包括那些将依照第</w:t>
      </w:r>
      <w:r>
        <w:rPr>
          <w:rFonts w:ascii="Arial" w:hAnsi="Arial" w:cs="Arial"/>
          <w:sz w:val="21"/>
          <w:szCs w:val="21"/>
        </w:rPr>
        <w:t>2</w:t>
      </w:r>
      <w:r>
        <w:rPr>
          <w:rFonts w:ascii="Arial" w:hAnsi="Arial" w:cs="Arial"/>
          <w:sz w:val="21"/>
          <w:szCs w:val="21"/>
        </w:rPr>
        <w:t>款制订的标准和方法、以及涉及危险废物管理的有关全球和区域机制，以环境无害化的其他方式予以处置；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）不得从事可能导致持久性有机污染物回收、再循环、再生、直接再利用或替代使用的处置行为；和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）不得违反相关国际规则、标准和指南进行跨越国界的运输。</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）努力制订用以查明受到附件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或</w:t>
      </w:r>
      <w:r>
        <w:rPr>
          <w:rFonts w:ascii="Arial" w:hAnsi="Arial" w:cs="Arial"/>
          <w:sz w:val="21"/>
          <w:szCs w:val="21"/>
        </w:rPr>
        <w:t>C</w:t>
      </w:r>
      <w:r>
        <w:rPr>
          <w:rFonts w:ascii="Arial" w:hAnsi="Arial" w:cs="Arial"/>
          <w:sz w:val="21"/>
          <w:szCs w:val="21"/>
        </w:rPr>
        <w:t>所列化学品污染的场址的适宜战略；如对这些场所进行补救，则应以环境无害化的方式进行。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、缔约方大会应与《控制危险废物越境转移及其处置巴塞尔公约》的有关机构密切合作，尤其要：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）制定进行销毁和永久质变的必要标准，以确保附件</w:t>
      </w:r>
      <w:r>
        <w:rPr>
          <w:rFonts w:ascii="Arial" w:hAnsi="Arial" w:cs="Arial"/>
          <w:sz w:val="21"/>
          <w:szCs w:val="21"/>
        </w:rPr>
        <w:t>D</w:t>
      </w:r>
      <w:r>
        <w:rPr>
          <w:rFonts w:ascii="Arial" w:hAnsi="Arial" w:cs="Arial"/>
          <w:sz w:val="21"/>
          <w:szCs w:val="21"/>
        </w:rPr>
        <w:t>第</w:t>
      </w:r>
      <w:r>
        <w:rPr>
          <w:rFonts w:ascii="Arial" w:hAnsi="Arial" w:cs="Arial"/>
          <w:sz w:val="21"/>
          <w:szCs w:val="21"/>
        </w:rPr>
        <w:t>1</w:t>
      </w:r>
      <w:r>
        <w:rPr>
          <w:rFonts w:ascii="Arial" w:hAnsi="Arial" w:cs="Arial"/>
          <w:sz w:val="21"/>
          <w:szCs w:val="21"/>
        </w:rPr>
        <w:t>款中所确定的持久性有机污染物特性不被显示；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）确定它们认可的上述对环境无害化的处置方法；和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）酌情制定附件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和</w:t>
      </w:r>
      <w:r>
        <w:rPr>
          <w:rFonts w:ascii="Arial" w:hAnsi="Arial" w:cs="Arial"/>
          <w:sz w:val="21"/>
          <w:szCs w:val="21"/>
        </w:rPr>
        <w:t>C</w:t>
      </w:r>
      <w:r>
        <w:rPr>
          <w:rFonts w:ascii="Arial" w:hAnsi="Arial" w:cs="Arial"/>
          <w:sz w:val="21"/>
          <w:szCs w:val="21"/>
        </w:rPr>
        <w:t>中所列化学物质的含量标准，以界定第</w:t>
      </w:r>
      <w:r>
        <w:rPr>
          <w:rFonts w:ascii="Arial" w:hAnsi="Arial" w:cs="Arial"/>
          <w:sz w:val="21"/>
          <w:szCs w:val="21"/>
        </w:rPr>
        <w:t>1</w:t>
      </w:r>
      <w:r>
        <w:rPr>
          <w:rFonts w:ascii="Arial" w:hAnsi="Arial" w:cs="Arial"/>
          <w:sz w:val="21"/>
          <w:szCs w:val="21"/>
        </w:rPr>
        <w:t>款（</w:t>
      </w:r>
      <w:r>
        <w:rPr>
          <w:rFonts w:ascii="Arial" w:hAnsi="Arial" w:cs="Arial"/>
          <w:sz w:val="21"/>
          <w:szCs w:val="21"/>
        </w:rPr>
        <w:t>d</w:t>
      </w:r>
      <w:r>
        <w:rPr>
          <w:rFonts w:ascii="Arial" w:hAnsi="Arial" w:cs="Arial"/>
          <w:sz w:val="21"/>
          <w:szCs w:val="21"/>
        </w:rPr>
        <w:t>）（</w:t>
      </w:r>
      <w:r>
        <w:rPr>
          <w:rFonts w:ascii="Arial" w:hAnsi="Arial" w:cs="Arial"/>
          <w:sz w:val="21"/>
          <w:szCs w:val="21"/>
        </w:rPr>
        <w:t>ii</w:t>
      </w:r>
      <w:r>
        <w:rPr>
          <w:rFonts w:ascii="Arial" w:hAnsi="Arial" w:cs="Arial"/>
          <w:sz w:val="21"/>
          <w:szCs w:val="21"/>
        </w:rPr>
        <w:t>）项中所述及的持久性有机污染物的低含量。</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7</w:t>
      </w:r>
      <w:r>
        <w:rPr>
          <w:rFonts w:ascii="Arial" w:hAnsi="Arial" w:cs="Arial"/>
          <w:sz w:val="21"/>
          <w:szCs w:val="21"/>
        </w:rPr>
        <w:t>条</w:t>
      </w:r>
      <w:r>
        <w:rPr>
          <w:rFonts w:ascii="Arial" w:hAnsi="Arial" w:cs="Arial"/>
          <w:sz w:val="21"/>
          <w:szCs w:val="21"/>
        </w:rPr>
        <w:t xml:space="preserve"> </w:t>
      </w:r>
      <w:r>
        <w:rPr>
          <w:rFonts w:ascii="Arial" w:hAnsi="Arial" w:cs="Arial"/>
          <w:sz w:val="21"/>
          <w:szCs w:val="21"/>
        </w:rPr>
        <w:t>实施计划</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、每一缔约方应：</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a</w:t>
      </w:r>
      <w:r>
        <w:rPr>
          <w:rFonts w:ascii="Arial" w:hAnsi="Arial" w:cs="Arial"/>
          <w:sz w:val="21"/>
          <w:szCs w:val="21"/>
        </w:rPr>
        <w:t>）制定并努力执行旨在履行本公约所规定的各项义务的计划；</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）自本公约对其生效之日起，两年内将其实施计划送交缔约方大会；和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）酌情按照缔约方大会决定所具体规定的方式定期审查和更新其实施计划。</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、为便于制定、执行和更新其实施计划，各缔约方应酌情直接或通过全球、区域和分区域组织开展合作，并征求其国内的利益相关者、包括妇女团体和儿童保健团体的意见。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、各缔约方应尽力利用、并于必要时酌情将有关持久性有机污染物的国家实施计划纳入其可持续发展战略。</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8</w:t>
      </w:r>
      <w:r>
        <w:rPr>
          <w:rFonts w:ascii="Arial" w:hAnsi="Arial" w:cs="Arial"/>
          <w:sz w:val="21"/>
          <w:szCs w:val="21"/>
        </w:rPr>
        <w:t>条</w:t>
      </w:r>
      <w:r>
        <w:rPr>
          <w:rFonts w:ascii="Arial" w:hAnsi="Arial" w:cs="Arial"/>
          <w:sz w:val="21"/>
          <w:szCs w:val="21"/>
        </w:rPr>
        <w:t xml:space="preserve"> </w:t>
      </w:r>
      <w:r>
        <w:rPr>
          <w:rFonts w:ascii="Arial" w:hAnsi="Arial" w:cs="Arial"/>
          <w:sz w:val="21"/>
          <w:szCs w:val="21"/>
        </w:rPr>
        <w:t>向附件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和</w:t>
      </w:r>
      <w:r>
        <w:rPr>
          <w:rFonts w:ascii="Arial" w:hAnsi="Arial" w:cs="Arial"/>
          <w:sz w:val="21"/>
          <w:szCs w:val="21"/>
        </w:rPr>
        <w:t>C</w:t>
      </w:r>
      <w:r>
        <w:rPr>
          <w:rFonts w:ascii="Arial" w:hAnsi="Arial" w:cs="Arial"/>
          <w:sz w:val="21"/>
          <w:szCs w:val="21"/>
        </w:rPr>
        <w:t>增列化学品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、任一缔约方均可向秘书处提交旨在将某一化学品列入本公约附件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和</w:t>
      </w:r>
      <w:r>
        <w:rPr>
          <w:rFonts w:ascii="Arial" w:hAnsi="Arial" w:cs="Arial"/>
          <w:sz w:val="21"/>
          <w:szCs w:val="21"/>
        </w:rPr>
        <w:t>/</w:t>
      </w:r>
      <w:r>
        <w:rPr>
          <w:rFonts w:ascii="Arial" w:hAnsi="Arial" w:cs="Arial"/>
          <w:sz w:val="21"/>
          <w:szCs w:val="21"/>
        </w:rPr>
        <w:t>或</w:t>
      </w:r>
      <w:r>
        <w:rPr>
          <w:rFonts w:ascii="Arial" w:hAnsi="Arial" w:cs="Arial"/>
          <w:sz w:val="21"/>
          <w:szCs w:val="21"/>
        </w:rPr>
        <w:t>C</w:t>
      </w:r>
      <w:r>
        <w:rPr>
          <w:rFonts w:ascii="Arial" w:hAnsi="Arial" w:cs="Arial"/>
          <w:sz w:val="21"/>
          <w:szCs w:val="21"/>
        </w:rPr>
        <w:t>的提案。提案中应包括附件</w:t>
      </w:r>
      <w:r>
        <w:rPr>
          <w:rFonts w:ascii="Arial" w:hAnsi="Arial" w:cs="Arial"/>
          <w:sz w:val="21"/>
          <w:szCs w:val="21"/>
        </w:rPr>
        <w:t>D</w:t>
      </w:r>
      <w:r>
        <w:rPr>
          <w:rFonts w:ascii="Arial" w:hAnsi="Arial" w:cs="Arial"/>
          <w:sz w:val="21"/>
          <w:szCs w:val="21"/>
        </w:rPr>
        <w:t>所规定的资料。缔约方在编制提案时可得到其他缔约方和</w:t>
      </w:r>
      <w:r>
        <w:rPr>
          <w:rFonts w:ascii="Arial" w:hAnsi="Arial" w:cs="Arial"/>
          <w:sz w:val="21"/>
          <w:szCs w:val="21"/>
        </w:rPr>
        <w:t>/</w:t>
      </w:r>
      <w:r>
        <w:rPr>
          <w:rFonts w:ascii="Arial" w:hAnsi="Arial" w:cs="Arial"/>
          <w:sz w:val="21"/>
          <w:szCs w:val="21"/>
        </w:rPr>
        <w:t>或秘书处的协助。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、秘书处应核实提案中是否包括附件</w:t>
      </w:r>
      <w:r>
        <w:rPr>
          <w:rFonts w:ascii="Arial" w:hAnsi="Arial" w:cs="Arial"/>
          <w:sz w:val="21"/>
          <w:szCs w:val="21"/>
        </w:rPr>
        <w:t>D</w:t>
      </w:r>
      <w:r>
        <w:rPr>
          <w:rFonts w:ascii="Arial" w:hAnsi="Arial" w:cs="Arial"/>
          <w:sz w:val="21"/>
          <w:szCs w:val="21"/>
        </w:rPr>
        <w:t>所规定的资料。如果秘书处认定提案中包括所规定的资料，则应将之转交持久性有机污染物审查委员会。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、审查委员会应以灵活而透明的方式审查提案和适用附件</w:t>
      </w:r>
      <w:r>
        <w:rPr>
          <w:rFonts w:ascii="Arial" w:hAnsi="Arial" w:cs="Arial"/>
          <w:sz w:val="21"/>
          <w:szCs w:val="21"/>
        </w:rPr>
        <w:t>D</w:t>
      </w:r>
      <w:r>
        <w:rPr>
          <w:rFonts w:ascii="Arial" w:hAnsi="Arial" w:cs="Arial"/>
          <w:sz w:val="21"/>
          <w:szCs w:val="21"/>
        </w:rPr>
        <w:t>所规定的筛选标准，同时综合兼顾和平衡地考虑到所提供的所有资料。</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、如果审查委员会决定：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）它认定提案符合筛选标准，则应通过秘书处向所有缔约方和观察员通报该提案和委员会的评价，并请它们提供附件</w:t>
      </w:r>
      <w:r>
        <w:rPr>
          <w:rFonts w:ascii="Arial" w:hAnsi="Arial" w:cs="Arial"/>
          <w:sz w:val="21"/>
          <w:szCs w:val="21"/>
        </w:rPr>
        <w:t>E</w:t>
      </w:r>
      <w:r>
        <w:rPr>
          <w:rFonts w:ascii="Arial" w:hAnsi="Arial" w:cs="Arial"/>
          <w:sz w:val="21"/>
          <w:szCs w:val="21"/>
        </w:rPr>
        <w:t>所规定的资料；或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）它认定提案不符合筛选标准，则应通过秘书处就此通知所有缔约方和观察员，并向所有缔约方通报该提案和委员会的评价，并将该提案搁置。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、任一缔约方可再次向审查委员会提交曾被其根据上述第</w:t>
      </w:r>
      <w:r>
        <w:rPr>
          <w:rFonts w:ascii="Arial" w:hAnsi="Arial" w:cs="Arial"/>
          <w:sz w:val="21"/>
          <w:szCs w:val="21"/>
        </w:rPr>
        <w:t>4</w:t>
      </w:r>
      <w:r>
        <w:rPr>
          <w:rFonts w:ascii="Arial" w:hAnsi="Arial" w:cs="Arial"/>
          <w:sz w:val="21"/>
          <w:szCs w:val="21"/>
        </w:rPr>
        <w:t>款搁置的提案。再次提交的提案可包括该缔约方所关注的任何问题以及提请该委员会对之作进一步考虑的理由。如果经过这一程序后，审查委员会再次搁置该提案，该缔约方可对审查委员会的决定提出质疑，而缔约方大会应在下一届会议上考虑该事项。缔约方大会可根据附件</w:t>
      </w:r>
      <w:r>
        <w:rPr>
          <w:rFonts w:ascii="Arial" w:hAnsi="Arial" w:cs="Arial"/>
          <w:sz w:val="21"/>
          <w:szCs w:val="21"/>
        </w:rPr>
        <w:t>D</w:t>
      </w:r>
      <w:r>
        <w:rPr>
          <w:rFonts w:ascii="Arial" w:hAnsi="Arial" w:cs="Arial"/>
          <w:sz w:val="21"/>
          <w:szCs w:val="21"/>
        </w:rPr>
        <w:t>所列筛选标准并考虑到审查委员会的评价以及任一缔约方或观察员提交的补充资料，决定继续审议该提案。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6</w:t>
      </w:r>
      <w:r>
        <w:rPr>
          <w:rFonts w:ascii="Arial" w:hAnsi="Arial" w:cs="Arial"/>
          <w:sz w:val="21"/>
          <w:szCs w:val="21"/>
        </w:rPr>
        <w:t>、如果审查委员会认定提案符合筛选标准，或缔约方大会决定应继续审议该提案，则委员会应计及所收到的相关附加资料，对提案进行进一步的审查，并应根据附件</w:t>
      </w:r>
      <w:r>
        <w:rPr>
          <w:rFonts w:ascii="Arial" w:hAnsi="Arial" w:cs="Arial"/>
          <w:sz w:val="21"/>
          <w:szCs w:val="21"/>
        </w:rPr>
        <w:t>E</w:t>
      </w:r>
      <w:r>
        <w:rPr>
          <w:rFonts w:ascii="Arial" w:hAnsi="Arial" w:cs="Arial"/>
          <w:sz w:val="21"/>
          <w:szCs w:val="21"/>
        </w:rPr>
        <w:t>拟订风险简介草案。委员会应通过秘书处将风险简介草案提交所有缔约方和观察员，收集它们的技术性评议意见，并在计及这些意见后，完成风险简介的编写。</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7</w:t>
      </w:r>
      <w:r>
        <w:rPr>
          <w:rFonts w:ascii="Arial" w:hAnsi="Arial" w:cs="Arial"/>
          <w:sz w:val="21"/>
          <w:szCs w:val="21"/>
        </w:rPr>
        <w:t>、如果审查委员会基于根据附件</w:t>
      </w:r>
      <w:r>
        <w:rPr>
          <w:rFonts w:ascii="Arial" w:hAnsi="Arial" w:cs="Arial"/>
          <w:sz w:val="21"/>
          <w:szCs w:val="21"/>
        </w:rPr>
        <w:t>E</w:t>
      </w:r>
      <w:r>
        <w:rPr>
          <w:rFonts w:ascii="Arial" w:hAnsi="Arial" w:cs="Arial"/>
          <w:sz w:val="21"/>
          <w:szCs w:val="21"/>
        </w:rPr>
        <w:t>所做的风险简介，决定：</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a</w:t>
      </w:r>
      <w:r>
        <w:rPr>
          <w:rFonts w:ascii="Arial" w:hAnsi="Arial" w:cs="Arial"/>
          <w:sz w:val="21"/>
          <w:szCs w:val="21"/>
        </w:rPr>
        <w:t>）该化学品由于其远距离的环境迁移而可能导致对人类健康和</w:t>
      </w:r>
      <w:r>
        <w:rPr>
          <w:rFonts w:ascii="Arial" w:hAnsi="Arial" w:cs="Arial"/>
          <w:sz w:val="21"/>
          <w:szCs w:val="21"/>
        </w:rPr>
        <w:t>/</w:t>
      </w:r>
      <w:r>
        <w:rPr>
          <w:rFonts w:ascii="Arial" w:hAnsi="Arial" w:cs="Arial"/>
          <w:sz w:val="21"/>
          <w:szCs w:val="21"/>
        </w:rPr>
        <w:t>或环境的不利影响因而有理由对之采取全球行动，则应继续审议该提案。即使缺乏充分的科学确定性，亦不应妨碍继续对该提案进行审议。委员会应通过秘书处请所有缔约方和观察员提出与附件</w:t>
      </w:r>
      <w:r>
        <w:rPr>
          <w:rFonts w:ascii="Arial" w:hAnsi="Arial" w:cs="Arial"/>
          <w:sz w:val="21"/>
          <w:szCs w:val="21"/>
        </w:rPr>
        <w:t>F</w:t>
      </w:r>
      <w:r>
        <w:rPr>
          <w:rFonts w:ascii="Arial" w:hAnsi="Arial" w:cs="Arial"/>
          <w:sz w:val="21"/>
          <w:szCs w:val="21"/>
        </w:rPr>
        <w:t>所列各种考虑因素有关的资料。委员会继而应拟订一项风险管理评价报告，其中包括按照附件</w:t>
      </w:r>
      <w:r>
        <w:rPr>
          <w:rFonts w:ascii="Arial" w:hAnsi="Arial" w:cs="Arial"/>
          <w:sz w:val="21"/>
          <w:szCs w:val="21"/>
        </w:rPr>
        <w:t>F</w:t>
      </w:r>
      <w:r>
        <w:rPr>
          <w:rFonts w:ascii="Arial" w:hAnsi="Arial" w:cs="Arial"/>
          <w:sz w:val="21"/>
          <w:szCs w:val="21"/>
        </w:rPr>
        <w:t>对该化学品可能实行的管制措施进行的分析；或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）不应继续审议该项提案，则它应通过秘书处将风险简介提供给所有缔约方和观察员，并搁置该项提案。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8</w:t>
      </w:r>
      <w:r>
        <w:rPr>
          <w:rFonts w:ascii="Arial" w:hAnsi="Arial" w:cs="Arial"/>
          <w:sz w:val="21"/>
          <w:szCs w:val="21"/>
        </w:rPr>
        <w:t>、对根据上述第</w:t>
      </w:r>
      <w:r>
        <w:rPr>
          <w:rFonts w:ascii="Arial" w:hAnsi="Arial" w:cs="Arial"/>
          <w:sz w:val="21"/>
          <w:szCs w:val="21"/>
        </w:rPr>
        <w:t>7</w:t>
      </w:r>
      <w:r>
        <w:rPr>
          <w:rFonts w:ascii="Arial" w:hAnsi="Arial" w:cs="Arial"/>
          <w:sz w:val="21"/>
          <w:szCs w:val="21"/>
        </w:rPr>
        <w:t>款（</w:t>
      </w:r>
      <w:r>
        <w:rPr>
          <w:rFonts w:ascii="Arial" w:hAnsi="Arial" w:cs="Arial"/>
          <w:sz w:val="21"/>
          <w:szCs w:val="21"/>
        </w:rPr>
        <w:t>b</w:t>
      </w:r>
      <w:r>
        <w:rPr>
          <w:rFonts w:ascii="Arial" w:hAnsi="Arial" w:cs="Arial"/>
          <w:sz w:val="21"/>
          <w:szCs w:val="21"/>
        </w:rPr>
        <w:t>）项搁置的任何提案，缔约方均可要求缔约方大会考虑审查委员会请提案缔约方和其他缔约方在不超过一年的期限内提供补充资料。在该期限之后，委员会应在所收到的任何资料的基础上，按缔约方大会决定的优先次序，根据上述第</w:t>
      </w:r>
      <w:r>
        <w:rPr>
          <w:rFonts w:ascii="Arial" w:hAnsi="Arial" w:cs="Arial"/>
          <w:sz w:val="21"/>
          <w:szCs w:val="21"/>
        </w:rPr>
        <w:t>6</w:t>
      </w:r>
      <w:r>
        <w:rPr>
          <w:rFonts w:ascii="Arial" w:hAnsi="Arial" w:cs="Arial"/>
          <w:sz w:val="21"/>
          <w:szCs w:val="21"/>
        </w:rPr>
        <w:t>款重新考虑该提案。如果经过这一程序之后，审查委员会再次搁置该提案，则所涉缔约方可对审查委员会的决定提出质疑，并应由缔约方大会在其下一届会议上考虑该事项。缔约方大会可根据按照附件</w:t>
      </w:r>
      <w:r>
        <w:rPr>
          <w:rFonts w:ascii="Arial" w:hAnsi="Arial" w:cs="Arial"/>
          <w:sz w:val="21"/>
          <w:szCs w:val="21"/>
        </w:rPr>
        <w:t>E</w:t>
      </w:r>
      <w:r>
        <w:rPr>
          <w:rFonts w:ascii="Arial" w:hAnsi="Arial" w:cs="Arial"/>
          <w:sz w:val="21"/>
          <w:szCs w:val="21"/>
        </w:rPr>
        <w:t>所编写的风险简介，并考虑到审查委员会的评价及任何缔约方和观察员提交的补充资料，决定继续审议该提案。如果缔约方大会决定应继续审议该提案，审查委员会则应编写风险管理评价报告。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9</w:t>
      </w:r>
      <w:r>
        <w:rPr>
          <w:rFonts w:ascii="Arial" w:hAnsi="Arial" w:cs="Arial"/>
          <w:sz w:val="21"/>
          <w:szCs w:val="21"/>
        </w:rPr>
        <w:t>、审查委员会应根据上述第</w:t>
      </w:r>
      <w:r>
        <w:rPr>
          <w:rFonts w:ascii="Arial" w:hAnsi="Arial" w:cs="Arial"/>
          <w:sz w:val="21"/>
          <w:szCs w:val="21"/>
        </w:rPr>
        <w:t>6</w:t>
      </w:r>
      <w:r>
        <w:rPr>
          <w:rFonts w:ascii="Arial" w:hAnsi="Arial" w:cs="Arial"/>
          <w:sz w:val="21"/>
          <w:szCs w:val="21"/>
        </w:rPr>
        <w:t>款所述风险简介和上述第</w:t>
      </w:r>
      <w:r>
        <w:rPr>
          <w:rFonts w:ascii="Arial" w:hAnsi="Arial" w:cs="Arial"/>
          <w:sz w:val="21"/>
          <w:szCs w:val="21"/>
        </w:rPr>
        <w:t>7</w:t>
      </w:r>
      <w:r>
        <w:rPr>
          <w:rFonts w:ascii="Arial" w:hAnsi="Arial" w:cs="Arial"/>
          <w:sz w:val="21"/>
          <w:szCs w:val="21"/>
        </w:rPr>
        <w:t>款（</w:t>
      </w:r>
      <w:r>
        <w:rPr>
          <w:rFonts w:ascii="Arial" w:hAnsi="Arial" w:cs="Arial"/>
          <w:sz w:val="21"/>
          <w:szCs w:val="21"/>
        </w:rPr>
        <w:t>a</w:t>
      </w:r>
      <w:r>
        <w:rPr>
          <w:rFonts w:ascii="Arial" w:hAnsi="Arial" w:cs="Arial"/>
          <w:sz w:val="21"/>
          <w:szCs w:val="21"/>
        </w:rPr>
        <w:t>）项或第</w:t>
      </w:r>
      <w:r>
        <w:rPr>
          <w:rFonts w:ascii="Arial" w:hAnsi="Arial" w:cs="Arial"/>
          <w:sz w:val="21"/>
          <w:szCs w:val="21"/>
        </w:rPr>
        <w:t>8</w:t>
      </w:r>
      <w:r>
        <w:rPr>
          <w:rFonts w:ascii="Arial" w:hAnsi="Arial" w:cs="Arial"/>
          <w:sz w:val="21"/>
          <w:szCs w:val="21"/>
        </w:rPr>
        <w:t>款所述风险管理评价，提出建议是否应由缔约方大会审议该化学品以便将其列入附件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和</w:t>
      </w:r>
      <w:r>
        <w:rPr>
          <w:rFonts w:ascii="Arial" w:hAnsi="Arial" w:cs="Arial"/>
          <w:sz w:val="21"/>
          <w:szCs w:val="21"/>
        </w:rPr>
        <w:t>/</w:t>
      </w:r>
      <w:r>
        <w:rPr>
          <w:rFonts w:ascii="Arial" w:hAnsi="Arial" w:cs="Arial"/>
          <w:sz w:val="21"/>
          <w:szCs w:val="21"/>
        </w:rPr>
        <w:t>或</w:t>
      </w:r>
      <w:r>
        <w:rPr>
          <w:rFonts w:ascii="Arial" w:hAnsi="Arial" w:cs="Arial"/>
          <w:sz w:val="21"/>
          <w:szCs w:val="21"/>
        </w:rPr>
        <w:t>C.</w:t>
      </w:r>
      <w:r>
        <w:rPr>
          <w:rFonts w:ascii="Arial" w:hAnsi="Arial" w:cs="Arial"/>
          <w:sz w:val="21"/>
          <w:szCs w:val="21"/>
        </w:rPr>
        <w:t>缔约方大会在适当考虑到该委员会的建议、包括任何科学上的不确定性之后，根据预防原则，决定是否将该化学品列入附件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和</w:t>
      </w:r>
      <w:r>
        <w:rPr>
          <w:rFonts w:ascii="Arial" w:hAnsi="Arial" w:cs="Arial"/>
          <w:sz w:val="21"/>
          <w:szCs w:val="21"/>
        </w:rPr>
        <w:t>/</w:t>
      </w:r>
      <w:r>
        <w:rPr>
          <w:rFonts w:ascii="Arial" w:hAnsi="Arial" w:cs="Arial"/>
          <w:sz w:val="21"/>
          <w:szCs w:val="21"/>
        </w:rPr>
        <w:t>或</w:t>
      </w:r>
      <w:r>
        <w:rPr>
          <w:rFonts w:ascii="Arial" w:hAnsi="Arial" w:cs="Arial"/>
          <w:sz w:val="21"/>
          <w:szCs w:val="21"/>
        </w:rPr>
        <w:t>C</w:t>
      </w:r>
      <w:r>
        <w:rPr>
          <w:rFonts w:ascii="Arial" w:hAnsi="Arial" w:cs="Arial"/>
          <w:sz w:val="21"/>
          <w:szCs w:val="21"/>
        </w:rPr>
        <w:t>，并为此规定相应的管制措施。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9</w:t>
      </w:r>
      <w:r>
        <w:rPr>
          <w:rFonts w:ascii="Arial" w:hAnsi="Arial" w:cs="Arial"/>
          <w:sz w:val="21"/>
          <w:szCs w:val="21"/>
        </w:rPr>
        <w:t>条</w:t>
      </w:r>
      <w:r>
        <w:rPr>
          <w:rFonts w:ascii="Arial" w:hAnsi="Arial" w:cs="Arial"/>
          <w:sz w:val="21"/>
          <w:szCs w:val="21"/>
        </w:rPr>
        <w:t xml:space="preserve"> </w:t>
      </w:r>
      <w:r>
        <w:rPr>
          <w:rFonts w:ascii="Arial" w:hAnsi="Arial" w:cs="Arial"/>
          <w:sz w:val="21"/>
          <w:szCs w:val="21"/>
        </w:rPr>
        <w:t>信息交流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、每一缔约方应促进或进行关于下列事项的信息交流：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）减少或消除持久性有机污染物的生产、使用和排放；和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）持久性有机污染物的替代品，包括有关其风险和经济与社会成本的信息。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、各缔约方应直接地或通过秘书处相互交流上述第</w:t>
      </w:r>
      <w:r>
        <w:rPr>
          <w:rFonts w:ascii="Arial" w:hAnsi="Arial" w:cs="Arial"/>
          <w:sz w:val="21"/>
          <w:szCs w:val="21"/>
        </w:rPr>
        <w:t>1</w:t>
      </w:r>
      <w:r>
        <w:rPr>
          <w:rFonts w:ascii="Arial" w:hAnsi="Arial" w:cs="Arial"/>
          <w:sz w:val="21"/>
          <w:szCs w:val="21"/>
        </w:rPr>
        <w:t>款所述信息。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、每一缔约方应指定一个负责交流此类信息的国家联络点。</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、秘书处应成为一个有关持久性有机污染物的信息交换所，所交换的信息应包括由缔约方、政府间组织和非政府组织提供的信息。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、为本公约的目的，有关人类健康与安全和环境的信息不得视为机密性信息。依照本公约进行其他信息交流的缔约方应按相互约定，对有关信息保密。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10</w:t>
      </w:r>
      <w:r>
        <w:rPr>
          <w:rFonts w:ascii="Arial" w:hAnsi="Arial" w:cs="Arial"/>
          <w:sz w:val="21"/>
          <w:szCs w:val="21"/>
        </w:rPr>
        <w:t>条</w:t>
      </w:r>
      <w:r>
        <w:rPr>
          <w:rFonts w:ascii="Arial" w:hAnsi="Arial" w:cs="Arial"/>
          <w:sz w:val="21"/>
          <w:szCs w:val="21"/>
        </w:rPr>
        <w:t xml:space="preserve"> </w:t>
      </w:r>
      <w:r>
        <w:rPr>
          <w:rFonts w:ascii="Arial" w:hAnsi="Arial" w:cs="Arial"/>
          <w:sz w:val="21"/>
          <w:szCs w:val="21"/>
        </w:rPr>
        <w:t>公众宣传、认识和教育</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、每一缔约方应根据其自身能力促进和协助：</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a</w:t>
      </w:r>
      <w:r>
        <w:rPr>
          <w:rFonts w:ascii="Arial" w:hAnsi="Arial" w:cs="Arial"/>
          <w:sz w:val="21"/>
          <w:szCs w:val="21"/>
        </w:rPr>
        <w:t>）提高其政策制定者和决策者对持久性有机污染物问题的认识；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）向公众提供有关持久性有机污染物的一切现有信息，为此应考虑到第</w:t>
      </w:r>
      <w:r>
        <w:rPr>
          <w:rFonts w:ascii="Arial" w:hAnsi="Arial" w:cs="Arial"/>
          <w:sz w:val="21"/>
          <w:szCs w:val="21"/>
        </w:rPr>
        <w:t>9</w:t>
      </w:r>
      <w:r>
        <w:rPr>
          <w:rFonts w:ascii="Arial" w:hAnsi="Arial" w:cs="Arial"/>
          <w:sz w:val="21"/>
          <w:szCs w:val="21"/>
        </w:rPr>
        <w:t>条第</w:t>
      </w:r>
      <w:r>
        <w:rPr>
          <w:rFonts w:ascii="Arial" w:hAnsi="Arial" w:cs="Arial"/>
          <w:sz w:val="21"/>
          <w:szCs w:val="21"/>
        </w:rPr>
        <w:t>5</w:t>
      </w:r>
      <w:r>
        <w:rPr>
          <w:rFonts w:ascii="Arial" w:hAnsi="Arial" w:cs="Arial"/>
          <w:sz w:val="21"/>
          <w:szCs w:val="21"/>
        </w:rPr>
        <w:t>款的规定；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）制定和实施特别是针对妇女、儿童和文化程度低的人的教育和公众宣传方案，宣传关于持久性有机污染物及其对健康和环境所产生的影响，和替代品方面的知识；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）公众参与处理持久性有机污染物及其对健康和环境所产生的影响、并参与制定妥善的应对措施，包括使之有机会在国家一级对本公约的实施提供投入；</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）对工人、科学家、教育人员以及技术和管理人员进行培训；</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f</w:t>
      </w:r>
      <w:r>
        <w:rPr>
          <w:rFonts w:ascii="Arial" w:hAnsi="Arial" w:cs="Arial"/>
          <w:sz w:val="21"/>
          <w:szCs w:val="21"/>
        </w:rPr>
        <w:t>）在国家和国际层面编制并交流教育材料和宣传材料；和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g</w:t>
      </w:r>
      <w:r>
        <w:rPr>
          <w:rFonts w:ascii="Arial" w:hAnsi="Arial" w:cs="Arial"/>
          <w:sz w:val="21"/>
          <w:szCs w:val="21"/>
        </w:rPr>
        <w:t>）在国家和国际层面制定并实施教育和培训方案；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、每一缔约方应根据其自身能力，确保公众有机会得到上述第</w:t>
      </w:r>
      <w:r>
        <w:rPr>
          <w:rFonts w:ascii="Arial" w:hAnsi="Arial" w:cs="Arial"/>
          <w:sz w:val="21"/>
          <w:szCs w:val="21"/>
        </w:rPr>
        <w:t>1</w:t>
      </w:r>
      <w:r>
        <w:rPr>
          <w:rFonts w:ascii="Arial" w:hAnsi="Arial" w:cs="Arial"/>
          <w:sz w:val="21"/>
          <w:szCs w:val="21"/>
        </w:rPr>
        <w:t>款所述的公共信息，并确保随时对此种信息进行更新。</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、每一缔约方应根据其自身能力，鼓励工业部门和专门用户促进和协助在国家层面以及适当时在次区域、区域和全球各层面提供上述第</w:t>
      </w:r>
      <w:r>
        <w:rPr>
          <w:rFonts w:ascii="Arial" w:hAnsi="Arial" w:cs="Arial"/>
          <w:sz w:val="21"/>
          <w:szCs w:val="21"/>
        </w:rPr>
        <w:t>1</w:t>
      </w:r>
      <w:r>
        <w:rPr>
          <w:rFonts w:ascii="Arial" w:hAnsi="Arial" w:cs="Arial"/>
          <w:sz w:val="21"/>
          <w:szCs w:val="21"/>
        </w:rPr>
        <w:t>款所述的信息。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、在提供关于持久性有机污染物及其替代品的信息时，缔约方可使用安全数据单、报告、大众媒体和其他通讯手段，并可在国家和区域层面建立信息中心。</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、每一缔约方应积极考虑建立一些机制，例如建立污染物排放和转移的登记册等，用以收集和分发关于附件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或</w:t>
      </w:r>
      <w:r>
        <w:rPr>
          <w:rFonts w:ascii="Arial" w:hAnsi="Arial" w:cs="Arial"/>
          <w:sz w:val="21"/>
          <w:szCs w:val="21"/>
        </w:rPr>
        <w:t>C</w:t>
      </w:r>
      <w:r>
        <w:rPr>
          <w:rFonts w:ascii="Arial" w:hAnsi="Arial" w:cs="Arial"/>
          <w:sz w:val="21"/>
          <w:szCs w:val="21"/>
        </w:rPr>
        <w:t>所列化学品排放或处置年估算量方面的信息。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11</w:t>
      </w:r>
      <w:r>
        <w:rPr>
          <w:rFonts w:ascii="Arial" w:hAnsi="Arial" w:cs="Arial"/>
          <w:sz w:val="21"/>
          <w:szCs w:val="21"/>
        </w:rPr>
        <w:t>条</w:t>
      </w:r>
      <w:r>
        <w:rPr>
          <w:rFonts w:ascii="Arial" w:hAnsi="Arial" w:cs="Arial"/>
          <w:sz w:val="21"/>
          <w:szCs w:val="21"/>
        </w:rPr>
        <w:t xml:space="preserve"> </w:t>
      </w:r>
      <w:r>
        <w:rPr>
          <w:rFonts w:ascii="Arial" w:hAnsi="Arial" w:cs="Arial"/>
          <w:sz w:val="21"/>
          <w:szCs w:val="21"/>
        </w:rPr>
        <w:t>研究、开发和监测</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、各缔约方应根据其自身能力，在国家和国际层面，就持久性有机污染物和其相关替代品，以及潜在的持久性有机污染物，鼓励和</w:t>
      </w:r>
      <w:r>
        <w:rPr>
          <w:rFonts w:ascii="Arial" w:hAnsi="Arial" w:cs="Arial"/>
          <w:sz w:val="21"/>
          <w:szCs w:val="21"/>
        </w:rPr>
        <w:t>/</w:t>
      </w:r>
      <w:r>
        <w:rPr>
          <w:rFonts w:ascii="Arial" w:hAnsi="Arial" w:cs="Arial"/>
          <w:sz w:val="21"/>
          <w:szCs w:val="21"/>
        </w:rPr>
        <w:t>或进行适当的研究、开发、监测与合作，包括：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）来源和向环境中排放的情况；</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）在人体和环境中的存在、含量和发展趋势；</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）环境迁移、转归和转化情况；</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）对人类健康和环境的影响；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）社会经济和文化影响；</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f</w:t>
      </w:r>
      <w:r>
        <w:rPr>
          <w:rFonts w:ascii="Arial" w:hAnsi="Arial" w:cs="Arial"/>
          <w:sz w:val="21"/>
          <w:szCs w:val="21"/>
        </w:rPr>
        <w:t>）排放量的减少和</w:t>
      </w:r>
      <w:r>
        <w:rPr>
          <w:rFonts w:ascii="Arial" w:hAnsi="Arial" w:cs="Arial"/>
          <w:sz w:val="21"/>
          <w:szCs w:val="21"/>
        </w:rPr>
        <w:t>/</w:t>
      </w:r>
      <w:r>
        <w:rPr>
          <w:rFonts w:ascii="Arial" w:hAnsi="Arial" w:cs="Arial"/>
          <w:sz w:val="21"/>
          <w:szCs w:val="21"/>
        </w:rPr>
        <w:t>或消除；和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g</w:t>
      </w:r>
      <w:r>
        <w:rPr>
          <w:rFonts w:ascii="Arial" w:hAnsi="Arial" w:cs="Arial"/>
          <w:sz w:val="21"/>
          <w:szCs w:val="21"/>
        </w:rPr>
        <w:t>）制订其生成来源清单的统一方法学和测算其排放量的分析技术。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、在按照上述第</w:t>
      </w:r>
      <w:r>
        <w:rPr>
          <w:rFonts w:ascii="Arial" w:hAnsi="Arial" w:cs="Arial"/>
          <w:sz w:val="21"/>
          <w:szCs w:val="21"/>
        </w:rPr>
        <w:t>1</w:t>
      </w:r>
      <w:r>
        <w:rPr>
          <w:rFonts w:ascii="Arial" w:hAnsi="Arial" w:cs="Arial"/>
          <w:sz w:val="21"/>
          <w:szCs w:val="21"/>
        </w:rPr>
        <w:t>款采取行动时，各缔约方应根据其自身能力：</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）支持并酌情进一步发展旨在界定、从事、评估和资助研究、数据收集和监测工作的国际方案、网络和组织，并注意尽可能避免重复工作；</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）支持旨在增强国家科学和技术研究能力、特别是增强发展中国家和经济转型国家的此种能力的国家和国际努力，并促进数据及分析结果的获取和交流；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）考虑发展中国家和经济转型国家各方面的关注和需要，特别是在资金和技术资源方面的关注和需要，并为提高它们参与以上（</w:t>
      </w:r>
      <w:r>
        <w:rPr>
          <w:rFonts w:ascii="Arial" w:hAnsi="Arial" w:cs="Arial"/>
          <w:sz w:val="21"/>
          <w:szCs w:val="21"/>
        </w:rPr>
        <w:t>a</w:t>
      </w:r>
      <w:r>
        <w:rPr>
          <w:rFonts w:ascii="Arial" w:hAnsi="Arial" w:cs="Arial"/>
          <w:sz w:val="21"/>
          <w:szCs w:val="21"/>
        </w:rPr>
        <w:t>）和（</w:t>
      </w:r>
      <w:r>
        <w:rPr>
          <w:rFonts w:ascii="Arial" w:hAnsi="Arial" w:cs="Arial"/>
          <w:sz w:val="21"/>
          <w:szCs w:val="21"/>
        </w:rPr>
        <w:t>b</w:t>
      </w:r>
      <w:r>
        <w:rPr>
          <w:rFonts w:ascii="Arial" w:hAnsi="Arial" w:cs="Arial"/>
          <w:sz w:val="21"/>
          <w:szCs w:val="21"/>
        </w:rPr>
        <w:t>）项所述活动的能力开展合作；</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）开展研究工作，努力减轻持久性有机污染物对生育健康的影响；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）使公众得以及时和经常地获知本款所述的研究、开发和监测活动的结果；和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f</w:t>
      </w:r>
      <w:r>
        <w:rPr>
          <w:rFonts w:ascii="Arial" w:hAnsi="Arial" w:cs="Arial"/>
          <w:sz w:val="21"/>
          <w:szCs w:val="21"/>
        </w:rPr>
        <w:t>）针对在研究、开发和监测工作中所获的信息的储存和保持方面，鼓励和</w:t>
      </w:r>
      <w:r>
        <w:rPr>
          <w:rFonts w:ascii="Arial" w:hAnsi="Arial" w:cs="Arial"/>
          <w:sz w:val="21"/>
          <w:szCs w:val="21"/>
        </w:rPr>
        <w:t>/</w:t>
      </w:r>
      <w:r>
        <w:rPr>
          <w:rFonts w:ascii="Arial" w:hAnsi="Arial" w:cs="Arial"/>
          <w:sz w:val="21"/>
          <w:szCs w:val="21"/>
        </w:rPr>
        <w:t>或开展合作。</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12</w:t>
      </w:r>
      <w:r>
        <w:rPr>
          <w:rFonts w:ascii="Arial" w:hAnsi="Arial" w:cs="Arial"/>
          <w:sz w:val="21"/>
          <w:szCs w:val="21"/>
        </w:rPr>
        <w:t>条</w:t>
      </w:r>
      <w:r>
        <w:rPr>
          <w:rFonts w:ascii="Arial" w:hAnsi="Arial" w:cs="Arial"/>
          <w:sz w:val="21"/>
          <w:szCs w:val="21"/>
        </w:rPr>
        <w:t xml:space="preserve"> </w:t>
      </w:r>
      <w:r>
        <w:rPr>
          <w:rFonts w:ascii="Arial" w:hAnsi="Arial" w:cs="Arial"/>
          <w:sz w:val="21"/>
          <w:szCs w:val="21"/>
        </w:rPr>
        <w:t>技术援助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、缔约方认识到，应发展中国家缔约方和经济转型国家缔约方的要求，向它们提供及时和适当的技术援助对于本公约的成功实施极为重要。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、缔约方应开展合作，向发展中国家缔约方和经济转型国家缔约方提供及时和适当的技术援助，考虑到它们的特殊需要，协助它们开发和增强履行本公约规定的各项义务的能力。</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在此方面，拟由发达国家缔约方以及由其他国家缔约方根据其能力提供的技术援助，应包括适当的和共同约定的与履行本公约所规定的各项义务有关的能力建设方面的技术援助。缔约方大会应在此方面提供进一步的指导。</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缔约方应酌情就向发展中国家缔约方和经济转型国家缔约方提供与履行本公约有关的技术援助和促进相关的技术转让做出安排。这些安排应包括区域和次区域层面的能力建设和技术转让中心，以协助发展中国家缔约方和经济转型国家缔约方履行本公约规定的各项义务。缔约方大会应在此方面提供进一步的指导。</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、缔约方应在本条的范畴内，在其为提供技术援助而采取的行动中充分顾及最不发达国家和小岛屿发展中国家的具体需要和特殊国情。</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13</w:t>
      </w:r>
      <w:r>
        <w:rPr>
          <w:rFonts w:ascii="Arial" w:hAnsi="Arial" w:cs="Arial"/>
          <w:sz w:val="21"/>
          <w:szCs w:val="21"/>
        </w:rPr>
        <w:t>条</w:t>
      </w:r>
      <w:r>
        <w:rPr>
          <w:rFonts w:ascii="Arial" w:hAnsi="Arial" w:cs="Arial"/>
          <w:sz w:val="21"/>
          <w:szCs w:val="21"/>
        </w:rPr>
        <w:t xml:space="preserve"> </w:t>
      </w:r>
      <w:r>
        <w:rPr>
          <w:rFonts w:ascii="Arial" w:hAnsi="Arial" w:cs="Arial"/>
          <w:sz w:val="21"/>
          <w:szCs w:val="21"/>
        </w:rPr>
        <w:t>资金资源和机制</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1</w:t>
      </w:r>
      <w:r>
        <w:rPr>
          <w:rFonts w:ascii="Arial" w:hAnsi="Arial" w:cs="Arial"/>
          <w:sz w:val="21"/>
          <w:szCs w:val="21"/>
        </w:rPr>
        <w:t>、每一缔约方承诺根据其自身的能力，并依照其国家计划、优先目标和方案，为那些旨在实现本公约目标的国家活动提供资金支持和激励。</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、发达国家缔约方应提供新的和额外的资金资源，以便使发展中国家缔约方和经济转型国家缔约方得以偿付受援缔约方与参与第</w:t>
      </w:r>
      <w:r>
        <w:rPr>
          <w:rFonts w:ascii="Arial" w:hAnsi="Arial" w:cs="Arial"/>
          <w:sz w:val="21"/>
          <w:szCs w:val="21"/>
        </w:rPr>
        <w:t>6</w:t>
      </w:r>
      <w:r>
        <w:rPr>
          <w:rFonts w:ascii="Arial" w:hAnsi="Arial" w:cs="Arial"/>
          <w:sz w:val="21"/>
          <w:szCs w:val="21"/>
        </w:rPr>
        <w:t>款中所阐明的机制的实体之间共同商定的、为履行本公约为之规定的各项义务而采取的实施措施所涉全部增量成本。其他缔约方亦可在自愿基础上并根据其自身能力提供此种财政资源。同时亦应鼓励来自其他来源的捐助。在履行这些义务时，应考虑需要确保资金的充足性、可预测性和及时支付性，并考虑各捐助缔约方共同负担的重要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发达国家缔约方、以及其他缔约方亦可根据其自身能力，并按照其国家计划、优先事项和方案，通过其他双边、区域和多边来源或渠道向发展中国家缔约方和经济转型国家缔约方提供资金援助；发展中国家缔约方和经济转型国家缔约方可利用此种资金资源，以协助它们实施本公约。</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发展中国家缔约方在何种程度上有效地履行其在本公约下的各项承诺，将取决于发达国家缔约方有效地履行其在资金资源、技术援助和技术转让诸方面于本公约下所作出的承诺。在适当地考虑保护人类健康和环境的需要的同时，应充分考虑到可持续的经济和社会发展以及根除贫困是发展中国家缔约方的首要的和压倒一切的优先目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、缔约方在其供资行动中应充分顾及最不发达国家和小岛屿发展中国家的具体需要和特殊国情。</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6</w:t>
      </w:r>
      <w:r>
        <w:rPr>
          <w:rFonts w:ascii="Arial" w:hAnsi="Arial" w:cs="Arial"/>
          <w:sz w:val="21"/>
          <w:szCs w:val="21"/>
        </w:rPr>
        <w:t>、兹确立一套以赠款或减让方式为协助发展中国家缔约方和经济转型国家缔约方实施本公约而向它们提供充足和可持续的资金资源的机制。为了本公约的目的，这一资金机制应酌情在缔约方大会的权力和指导之下行使职能，并向缔约方大会负责。这一资金机制的运作应委托给可由缔约方大会予以决定的一个或多个实体包括既有的国际实体进行。这一机制还可包括提供多边、区域和双边资金和技术援助的其他实体。对这一机制的捐助应属于依照第</w:t>
      </w:r>
      <w:r>
        <w:rPr>
          <w:rFonts w:ascii="Arial" w:hAnsi="Arial" w:cs="Arial"/>
          <w:sz w:val="21"/>
          <w:szCs w:val="21"/>
        </w:rPr>
        <w:t>2</w:t>
      </w:r>
      <w:r>
        <w:rPr>
          <w:rFonts w:ascii="Arial" w:hAnsi="Arial" w:cs="Arial"/>
          <w:sz w:val="21"/>
          <w:szCs w:val="21"/>
        </w:rPr>
        <w:t>款规定向发展中国家缔约方和经济转型国家缔约方提供的其他资金转让之外的额外捐助。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7</w:t>
      </w:r>
      <w:r>
        <w:rPr>
          <w:rFonts w:ascii="Arial" w:hAnsi="Arial" w:cs="Arial"/>
          <w:sz w:val="21"/>
          <w:szCs w:val="21"/>
        </w:rPr>
        <w:t>、依照本公约各项目标以及本条第</w:t>
      </w:r>
      <w:r>
        <w:rPr>
          <w:rFonts w:ascii="Arial" w:hAnsi="Arial" w:cs="Arial"/>
          <w:sz w:val="21"/>
          <w:szCs w:val="21"/>
        </w:rPr>
        <w:t>6</w:t>
      </w:r>
      <w:r>
        <w:rPr>
          <w:rFonts w:ascii="Arial" w:hAnsi="Arial" w:cs="Arial"/>
          <w:sz w:val="21"/>
          <w:szCs w:val="21"/>
        </w:rPr>
        <w:t>款的规定，缔约方大会应在第一次会议上通过拟向这一机制提供的适当指导，并应与参与资金机制的实体共同商定使此种指导发生效力的安排。此种指导尤其要涉及以下事宜：</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）确定有关获得和使用资金资源的资格的政策、战略、方案优先次序以及明确和详细的标准和指南，包括对此种资源的使用进行的监督和定期评价；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）由参与实体定期向缔约方大会提交报告，汇报为实施与本公约的有关活动提供充分和可持续的资金的情况；</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）促进从多种来源获得资金的办法、机制和安排；</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d</w:t>
      </w:r>
      <w:r>
        <w:rPr>
          <w:rFonts w:ascii="Arial" w:hAnsi="Arial" w:cs="Arial"/>
          <w:sz w:val="21"/>
          <w:szCs w:val="21"/>
        </w:rPr>
        <w:t>）以可预测的和可确认的方式，且铭记逐步消除持久性有机污染物的可能需要持久的供资，确定实施本公约所必要的和可获得的供资额度的方法，以及应定期对这一额度进行审查的条件；和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）向有兴趣的缔约方提供需求评估帮助、现有资金来源以及供资形式方面信息的方法，以便于它们彼此相互协调。</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8</w:t>
      </w:r>
      <w:r>
        <w:rPr>
          <w:rFonts w:ascii="Arial" w:hAnsi="Arial" w:cs="Arial"/>
          <w:sz w:val="21"/>
          <w:szCs w:val="21"/>
        </w:rPr>
        <w:t>、缔约方大会最迟应在第二次会议上，并嗣后定期审查依照本条确立的资金机制的成效、其满足发展中国家缔约方和经济转型国家缔约方不断变化的需要的能力、上述第</w:t>
      </w:r>
      <w:r>
        <w:rPr>
          <w:rFonts w:ascii="Arial" w:hAnsi="Arial" w:cs="Arial"/>
          <w:sz w:val="21"/>
          <w:szCs w:val="21"/>
        </w:rPr>
        <w:t>7</w:t>
      </w:r>
      <w:r>
        <w:rPr>
          <w:rFonts w:ascii="Arial" w:hAnsi="Arial" w:cs="Arial"/>
          <w:sz w:val="21"/>
          <w:szCs w:val="21"/>
        </w:rPr>
        <w:t>款述及的标准和指南、供资额度，以及受委托负责这一资金机制运作的实体的工作成效。缔约方大会应在此种审查的基础上，视需要为提高这一机制的成效采取适宜的行动，包括就为确保满足缔约方的需要而提供充分和可持续的资金的措施提出建议和指导。</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14</w:t>
      </w:r>
      <w:r>
        <w:rPr>
          <w:rFonts w:ascii="Arial" w:hAnsi="Arial" w:cs="Arial"/>
          <w:sz w:val="21"/>
          <w:szCs w:val="21"/>
        </w:rPr>
        <w:t>条</w:t>
      </w:r>
      <w:r>
        <w:rPr>
          <w:rFonts w:ascii="Arial" w:hAnsi="Arial" w:cs="Arial"/>
          <w:sz w:val="21"/>
          <w:szCs w:val="21"/>
        </w:rPr>
        <w:t xml:space="preserve"> </w:t>
      </w:r>
      <w:r>
        <w:rPr>
          <w:rFonts w:ascii="Arial" w:hAnsi="Arial" w:cs="Arial"/>
          <w:sz w:val="21"/>
          <w:szCs w:val="21"/>
        </w:rPr>
        <w:t>临时资金安排</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依照《关于建立经结构改组的全球环境基金的导则》运作的全球环境基金的组织结构，应自本公约开始生效之日起直至缔约方大会第一次会议这一时期内，或直至缔约方大会决定将依照第</w:t>
      </w:r>
      <w:r>
        <w:rPr>
          <w:rFonts w:ascii="Arial" w:hAnsi="Arial" w:cs="Arial"/>
          <w:sz w:val="21"/>
          <w:szCs w:val="21"/>
        </w:rPr>
        <w:t>13</w:t>
      </w:r>
      <w:r>
        <w:rPr>
          <w:rFonts w:ascii="Arial" w:hAnsi="Arial" w:cs="Arial"/>
          <w:sz w:val="21"/>
          <w:szCs w:val="21"/>
        </w:rPr>
        <w:t>条决定指定哪一组织结构来负责资金机制的运作时为止的这一时期内，临时充当受委托负责第</w:t>
      </w:r>
      <w:r>
        <w:rPr>
          <w:rFonts w:ascii="Arial" w:hAnsi="Arial" w:cs="Arial"/>
          <w:sz w:val="21"/>
          <w:szCs w:val="21"/>
        </w:rPr>
        <w:t>13</w:t>
      </w:r>
      <w:r>
        <w:rPr>
          <w:rFonts w:ascii="Arial" w:hAnsi="Arial" w:cs="Arial"/>
          <w:sz w:val="21"/>
          <w:szCs w:val="21"/>
        </w:rPr>
        <w:t>条所述资金机制运作的主要实体。全球环境基金的组织结构应考虑到可能需要为这一领域的工作做出新的安排，通过采取专门涉及持久性有机污染物的业务措施来履行这一职能。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15</w:t>
      </w:r>
      <w:r>
        <w:rPr>
          <w:rFonts w:ascii="Arial" w:hAnsi="Arial" w:cs="Arial"/>
          <w:sz w:val="21"/>
          <w:szCs w:val="21"/>
        </w:rPr>
        <w:t>条</w:t>
      </w:r>
      <w:r>
        <w:rPr>
          <w:rFonts w:ascii="Arial" w:hAnsi="Arial" w:cs="Arial"/>
          <w:sz w:val="21"/>
          <w:szCs w:val="21"/>
        </w:rPr>
        <w:t xml:space="preserve"> </w:t>
      </w:r>
      <w:r>
        <w:rPr>
          <w:rFonts w:ascii="Arial" w:hAnsi="Arial" w:cs="Arial"/>
          <w:sz w:val="21"/>
          <w:szCs w:val="21"/>
        </w:rPr>
        <w:t>报告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、每一缔约方应向缔约方大会报告其已为履行本公约规定所采取的措施和这些措施在实现本公约各项目标方面的成效。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、每一缔约方应向秘书处提供：</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）关于其生产、进口和出口附件</w:t>
      </w:r>
      <w:r>
        <w:rPr>
          <w:rFonts w:ascii="Arial" w:hAnsi="Arial" w:cs="Arial"/>
          <w:sz w:val="21"/>
          <w:szCs w:val="21"/>
        </w:rPr>
        <w:t>A</w:t>
      </w:r>
      <w:r>
        <w:rPr>
          <w:rFonts w:ascii="Arial" w:hAnsi="Arial" w:cs="Arial"/>
          <w:sz w:val="21"/>
          <w:szCs w:val="21"/>
        </w:rPr>
        <w:t>和</w:t>
      </w:r>
      <w:r>
        <w:rPr>
          <w:rFonts w:ascii="Arial" w:hAnsi="Arial" w:cs="Arial"/>
          <w:sz w:val="21"/>
          <w:szCs w:val="21"/>
        </w:rPr>
        <w:t>B</w:t>
      </w:r>
      <w:r>
        <w:rPr>
          <w:rFonts w:ascii="Arial" w:hAnsi="Arial" w:cs="Arial"/>
          <w:sz w:val="21"/>
          <w:szCs w:val="21"/>
        </w:rPr>
        <w:t>所列每一种化学品的总量的统计数据，或对此种数据的合理估算；</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）在切实可行的范围内，提供向它出口每一种此类物质的国家名单和接受它出口每一种此类物质的国家名单。</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、此种报告应按拟由缔约方大会第一次会议确定的时间间隔和格式进行。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16</w:t>
      </w:r>
      <w:r>
        <w:rPr>
          <w:rFonts w:ascii="Arial" w:hAnsi="Arial" w:cs="Arial"/>
          <w:sz w:val="21"/>
          <w:szCs w:val="21"/>
        </w:rPr>
        <w:t>条</w:t>
      </w:r>
      <w:r>
        <w:rPr>
          <w:rFonts w:ascii="Arial" w:hAnsi="Arial" w:cs="Arial"/>
          <w:sz w:val="21"/>
          <w:szCs w:val="21"/>
        </w:rPr>
        <w:t xml:space="preserve"> </w:t>
      </w:r>
      <w:r>
        <w:rPr>
          <w:rFonts w:ascii="Arial" w:hAnsi="Arial" w:cs="Arial"/>
          <w:sz w:val="21"/>
          <w:szCs w:val="21"/>
        </w:rPr>
        <w:t>成效评估</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、缔约方大会应自本公约生效之日起四年内，并嗣后按照缔约方大会所决定的时间间隔定期对本公约的成效进行评估。</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2</w:t>
      </w:r>
      <w:r>
        <w:rPr>
          <w:rFonts w:ascii="Arial" w:hAnsi="Arial" w:cs="Arial"/>
          <w:sz w:val="21"/>
          <w:szCs w:val="21"/>
        </w:rPr>
        <w:t>、为便于此种评估的进行，缔约方大会应在其第一次会议上着手做出旨在使它获得关于附件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和</w:t>
      </w:r>
      <w:r>
        <w:rPr>
          <w:rFonts w:ascii="Arial" w:hAnsi="Arial" w:cs="Arial"/>
          <w:sz w:val="21"/>
          <w:szCs w:val="21"/>
        </w:rPr>
        <w:t>C</w:t>
      </w:r>
      <w:r>
        <w:rPr>
          <w:rFonts w:ascii="Arial" w:hAnsi="Arial" w:cs="Arial"/>
          <w:sz w:val="21"/>
          <w:szCs w:val="21"/>
        </w:rPr>
        <w:t>所列化学品的存在、及在区域和全球环境中迁移情况的可比监测数据的安排。这些安排：</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）应由缔约方酌情在区域基础上并视其技术和资金能力予以实施，同时尽可能利用既有的监测方案和机制，并促进各种方法的一致性；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）考虑到各区域的具体情况及其开展监测活动的能力方面存在的差别，视需要予以补充；和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）应包括按照拟由缔约方大会具体规定的时间间隔向缔约方大会汇报在区域和全球层面开展监测活动的成果。</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、上述第</w:t>
      </w:r>
      <w:r>
        <w:rPr>
          <w:rFonts w:ascii="Arial" w:hAnsi="Arial" w:cs="Arial"/>
          <w:sz w:val="21"/>
          <w:szCs w:val="21"/>
        </w:rPr>
        <w:t>1</w:t>
      </w:r>
      <w:r>
        <w:rPr>
          <w:rFonts w:ascii="Arial" w:hAnsi="Arial" w:cs="Arial"/>
          <w:sz w:val="21"/>
          <w:szCs w:val="21"/>
        </w:rPr>
        <w:t>款所述评估应根据现有的科学、环境、技术和经济信息进行，其中包括：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）根据第</w:t>
      </w:r>
      <w:r>
        <w:rPr>
          <w:rFonts w:ascii="Arial" w:hAnsi="Arial" w:cs="Arial"/>
          <w:sz w:val="21"/>
          <w:szCs w:val="21"/>
        </w:rPr>
        <w:t>2</w:t>
      </w:r>
      <w:r>
        <w:rPr>
          <w:rFonts w:ascii="Arial" w:hAnsi="Arial" w:cs="Arial"/>
          <w:sz w:val="21"/>
          <w:szCs w:val="21"/>
        </w:rPr>
        <w:t>款提供的报告和其他监测结果信息；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）依照第</w:t>
      </w:r>
      <w:r>
        <w:rPr>
          <w:rFonts w:ascii="Arial" w:hAnsi="Arial" w:cs="Arial"/>
          <w:sz w:val="21"/>
          <w:szCs w:val="21"/>
        </w:rPr>
        <w:t>15</w:t>
      </w:r>
      <w:r>
        <w:rPr>
          <w:rFonts w:ascii="Arial" w:hAnsi="Arial" w:cs="Arial"/>
          <w:sz w:val="21"/>
          <w:szCs w:val="21"/>
        </w:rPr>
        <w:t>条提交的国家报告；和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）依据第</w:t>
      </w:r>
      <w:r>
        <w:rPr>
          <w:rFonts w:ascii="Arial" w:hAnsi="Arial" w:cs="Arial"/>
          <w:sz w:val="21"/>
          <w:szCs w:val="21"/>
        </w:rPr>
        <w:t>17</w:t>
      </w:r>
      <w:r>
        <w:rPr>
          <w:rFonts w:ascii="Arial" w:hAnsi="Arial" w:cs="Arial"/>
          <w:sz w:val="21"/>
          <w:szCs w:val="21"/>
        </w:rPr>
        <w:t>条所订立的程序提供的不遵守情事方面的信息。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17</w:t>
      </w:r>
      <w:r>
        <w:rPr>
          <w:rFonts w:ascii="Arial" w:hAnsi="Arial" w:cs="Arial"/>
          <w:sz w:val="21"/>
          <w:szCs w:val="21"/>
        </w:rPr>
        <w:t>条</w:t>
      </w:r>
      <w:r>
        <w:rPr>
          <w:rFonts w:ascii="Arial" w:hAnsi="Arial" w:cs="Arial"/>
          <w:sz w:val="21"/>
          <w:szCs w:val="21"/>
        </w:rPr>
        <w:t xml:space="preserve"> </w:t>
      </w:r>
      <w:r>
        <w:rPr>
          <w:rFonts w:ascii="Arial" w:hAnsi="Arial" w:cs="Arial"/>
          <w:sz w:val="21"/>
          <w:szCs w:val="21"/>
        </w:rPr>
        <w:t>不遵守情事</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缔约方大会应视实际情况尽快制定并批准用以确定不遵守本公约规定的情事和处理被查明不遵守本公约规定的缔约方的程序和组织机制。</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18</w:t>
      </w:r>
      <w:r>
        <w:rPr>
          <w:rFonts w:ascii="Arial" w:hAnsi="Arial" w:cs="Arial"/>
          <w:sz w:val="21"/>
          <w:szCs w:val="21"/>
        </w:rPr>
        <w:t>条</w:t>
      </w:r>
      <w:r>
        <w:rPr>
          <w:rFonts w:ascii="Arial" w:hAnsi="Arial" w:cs="Arial"/>
          <w:sz w:val="21"/>
          <w:szCs w:val="21"/>
        </w:rPr>
        <w:t xml:space="preserve"> </w:t>
      </w:r>
      <w:r>
        <w:rPr>
          <w:rFonts w:ascii="Arial" w:hAnsi="Arial" w:cs="Arial"/>
          <w:sz w:val="21"/>
          <w:szCs w:val="21"/>
        </w:rPr>
        <w:t>争端解决</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、缔约方应通过谈判或其自行选择的其他和平方式解决它们之间因本公约的解释或适用而产生的任何争端。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非区域经济一体化组织的缔约方在批准、接受、核准或加入本公约时，或于其后任何时候，可在交给保存人的一份书面文书中声明，对于本公约的解释或适用方面的任何争端，承认在涉及接受同样义务的任何其他缔约方时，下列一种或两种争端解决方式具有强制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）按照拟由缔约方大会视实际情况尽早通过的、载于某一附件中的程序进行仲裁；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）将争端提交国际法院审理。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、若缔约方系区域经济一体化组织，则它可对按照第</w:t>
      </w:r>
      <w:r>
        <w:rPr>
          <w:rFonts w:ascii="Arial" w:hAnsi="Arial" w:cs="Arial"/>
          <w:sz w:val="21"/>
          <w:szCs w:val="21"/>
        </w:rPr>
        <w:t>2</w:t>
      </w:r>
      <w:r>
        <w:rPr>
          <w:rFonts w:ascii="Arial" w:hAnsi="Arial" w:cs="Arial"/>
          <w:sz w:val="21"/>
          <w:szCs w:val="21"/>
        </w:rPr>
        <w:t>款（</w:t>
      </w:r>
      <w:r>
        <w:rPr>
          <w:rFonts w:ascii="Arial" w:hAnsi="Arial" w:cs="Arial"/>
          <w:sz w:val="21"/>
          <w:szCs w:val="21"/>
        </w:rPr>
        <w:t>a</w:t>
      </w:r>
      <w:r>
        <w:rPr>
          <w:rFonts w:ascii="Arial" w:hAnsi="Arial" w:cs="Arial"/>
          <w:sz w:val="21"/>
          <w:szCs w:val="21"/>
        </w:rPr>
        <w:t>）项所述程序作出的裁决，发表类似的声明。</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、根据第</w:t>
      </w:r>
      <w:r>
        <w:rPr>
          <w:rFonts w:ascii="Arial" w:hAnsi="Arial" w:cs="Arial"/>
          <w:sz w:val="21"/>
          <w:szCs w:val="21"/>
        </w:rPr>
        <w:t>2</w:t>
      </w:r>
      <w:r>
        <w:rPr>
          <w:rFonts w:ascii="Arial" w:hAnsi="Arial" w:cs="Arial"/>
          <w:sz w:val="21"/>
          <w:szCs w:val="21"/>
        </w:rPr>
        <w:t>款或第</w:t>
      </w:r>
      <w:r>
        <w:rPr>
          <w:rFonts w:ascii="Arial" w:hAnsi="Arial" w:cs="Arial"/>
          <w:sz w:val="21"/>
          <w:szCs w:val="21"/>
        </w:rPr>
        <w:t>3</w:t>
      </w:r>
      <w:r>
        <w:rPr>
          <w:rFonts w:ascii="Arial" w:hAnsi="Arial" w:cs="Arial"/>
          <w:sz w:val="21"/>
          <w:szCs w:val="21"/>
        </w:rPr>
        <w:t>款所作的声明，在其中所规定的有效期内或自其撤销声明的书面通知交存于保存人之后三个月内，应一直有效。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5</w:t>
      </w:r>
      <w:r>
        <w:rPr>
          <w:rFonts w:ascii="Arial" w:hAnsi="Arial" w:cs="Arial"/>
          <w:sz w:val="21"/>
          <w:szCs w:val="21"/>
        </w:rPr>
        <w:t>、除非争端各方另有协议，声明的失效、撤销声明的通知或作出新的声明不得在任何方面影响仲裁庭或国际法院正在进行的审理。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6</w:t>
      </w:r>
      <w:r>
        <w:rPr>
          <w:rFonts w:ascii="Arial" w:hAnsi="Arial" w:cs="Arial"/>
          <w:sz w:val="21"/>
          <w:szCs w:val="21"/>
        </w:rPr>
        <w:t>、如果争端各方尚未根据第</w:t>
      </w:r>
      <w:r>
        <w:rPr>
          <w:rFonts w:ascii="Arial" w:hAnsi="Arial" w:cs="Arial"/>
          <w:sz w:val="21"/>
          <w:szCs w:val="21"/>
        </w:rPr>
        <w:t>2</w:t>
      </w:r>
      <w:r>
        <w:rPr>
          <w:rFonts w:ascii="Arial" w:hAnsi="Arial" w:cs="Arial"/>
          <w:sz w:val="21"/>
          <w:szCs w:val="21"/>
        </w:rPr>
        <w:t>款接受同样的程序或任何程序，且它们未能在一方通知另一方它们之间存在争端后的十二个月内解决其争端，则应根据该争端任何一方的要求将之提交调解委员会。调解委员会应提出附有建议的报告。调解委员会的增补程序应列入最迟将在缔约方大会第二次会议上予以通过的一项附件之中。</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19</w:t>
      </w:r>
      <w:r>
        <w:rPr>
          <w:rFonts w:ascii="Arial" w:hAnsi="Arial" w:cs="Arial"/>
          <w:sz w:val="21"/>
          <w:szCs w:val="21"/>
        </w:rPr>
        <w:t>条</w:t>
      </w:r>
      <w:r>
        <w:rPr>
          <w:rFonts w:ascii="Arial" w:hAnsi="Arial" w:cs="Arial"/>
          <w:sz w:val="21"/>
          <w:szCs w:val="21"/>
        </w:rPr>
        <w:t xml:space="preserve"> </w:t>
      </w:r>
      <w:r>
        <w:rPr>
          <w:rFonts w:ascii="Arial" w:hAnsi="Arial" w:cs="Arial"/>
          <w:sz w:val="21"/>
          <w:szCs w:val="21"/>
        </w:rPr>
        <w:t>缔约方大会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、兹设立缔约方大会。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、缔约方大会第一次会议应在本公约生效后一年内由联合国环境规划署执行主任召集。此后，缔约方大会的例会应按缔约方大会所确定的时间间隔定期举行。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、缔约方大会的特别会议可在缔约方大会认为必要的其他时间举行，或应任何缔约方的书面请求并得到至少三分之一缔约方的支持而举行。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、缔约方大会应在其第一次会议上以协商一致方式议定、并通过缔约方大会及其任何附属机构的议事规则和财务细则以及有关秘书处运作的财务规定。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、缔约方大会应不断审查和评价本公约的实施情况。它应履行本公约为其指定的各项职责，并应为此目的：</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）除第</w:t>
      </w:r>
      <w:r>
        <w:rPr>
          <w:rFonts w:ascii="Arial" w:hAnsi="Arial" w:cs="Arial"/>
          <w:sz w:val="21"/>
          <w:szCs w:val="21"/>
        </w:rPr>
        <w:t>6</w:t>
      </w:r>
      <w:r>
        <w:rPr>
          <w:rFonts w:ascii="Arial" w:hAnsi="Arial" w:cs="Arial"/>
          <w:sz w:val="21"/>
          <w:szCs w:val="21"/>
        </w:rPr>
        <w:t>款中所作规定之外，设立它认为实施本公约所必需的附属机构；</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）酌情与具有资格的国际组织以及政府间组织和非政府组织开展合作；和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）定期审查根据第</w:t>
      </w:r>
      <w:r>
        <w:rPr>
          <w:rFonts w:ascii="Arial" w:hAnsi="Arial" w:cs="Arial"/>
          <w:sz w:val="21"/>
          <w:szCs w:val="21"/>
        </w:rPr>
        <w:t>15</w:t>
      </w:r>
      <w:r>
        <w:rPr>
          <w:rFonts w:ascii="Arial" w:hAnsi="Arial" w:cs="Arial"/>
          <w:sz w:val="21"/>
          <w:szCs w:val="21"/>
        </w:rPr>
        <w:t>条向缔约方提供的所有资料，包括审查第</w:t>
      </w:r>
      <w:r>
        <w:rPr>
          <w:rFonts w:ascii="Arial" w:hAnsi="Arial" w:cs="Arial"/>
          <w:sz w:val="21"/>
          <w:szCs w:val="21"/>
        </w:rPr>
        <w:t>3</w:t>
      </w:r>
      <w:r>
        <w:rPr>
          <w:rFonts w:ascii="Arial" w:hAnsi="Arial" w:cs="Arial"/>
          <w:sz w:val="21"/>
          <w:szCs w:val="21"/>
        </w:rPr>
        <w:t>条第</w:t>
      </w:r>
      <w:r>
        <w:rPr>
          <w:rFonts w:ascii="Arial" w:hAnsi="Arial" w:cs="Arial"/>
          <w:sz w:val="21"/>
          <w:szCs w:val="21"/>
        </w:rPr>
        <w:t>2</w:t>
      </w:r>
      <w:r>
        <w:rPr>
          <w:rFonts w:ascii="Arial" w:hAnsi="Arial" w:cs="Arial"/>
          <w:sz w:val="21"/>
          <w:szCs w:val="21"/>
        </w:rPr>
        <w:t>款（</w:t>
      </w:r>
      <w:r>
        <w:rPr>
          <w:rFonts w:ascii="Arial" w:hAnsi="Arial" w:cs="Arial"/>
          <w:sz w:val="21"/>
          <w:szCs w:val="21"/>
        </w:rPr>
        <w:t>b</w:t>
      </w:r>
      <w:r>
        <w:rPr>
          <w:rFonts w:ascii="Arial" w:hAnsi="Arial" w:cs="Arial"/>
          <w:sz w:val="21"/>
          <w:szCs w:val="21"/>
        </w:rPr>
        <w:t>）（</w:t>
      </w:r>
      <w:r>
        <w:rPr>
          <w:rFonts w:ascii="Arial" w:hAnsi="Arial" w:cs="Arial"/>
          <w:sz w:val="21"/>
          <w:szCs w:val="21"/>
        </w:rPr>
        <w:t>iii</w:t>
      </w:r>
      <w:r>
        <w:rPr>
          <w:rFonts w:ascii="Arial" w:hAnsi="Arial" w:cs="Arial"/>
          <w:sz w:val="21"/>
          <w:szCs w:val="21"/>
        </w:rPr>
        <w:t>）项的成效；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）考虑并采取为实现本公约各项目标可能需要的任何其他行动。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6</w:t>
      </w:r>
      <w:r>
        <w:rPr>
          <w:rFonts w:ascii="Arial" w:hAnsi="Arial" w:cs="Arial"/>
          <w:sz w:val="21"/>
          <w:szCs w:val="21"/>
        </w:rPr>
        <w:t>、缔约方大会应在其第一次会议上设立一个名为持久性有机污染物审查委员会的附属机构，以行使本公约为其指定的职能。在此方面：</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）持久性有机污染物审查委员会的成员应由缔约方大会予以任命。委员会应由政府指定的化学品评估或管理方面的专家组成。委员会成员应在公平地域分配的基础上予以任命。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）缔约方大会应就该委员会的职责范围、组织和运作方式作出决定；且</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）该委员会应尽一切努力以协商一致方式通过其建议。如果为谋求协商一致已尽了一切努力而仍未达成一致，则作为最后手段，应以出席并参加表决的成员的三分之二多数票通过此类建议。</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7</w:t>
      </w:r>
      <w:r>
        <w:rPr>
          <w:rFonts w:ascii="Arial" w:hAnsi="Arial" w:cs="Arial"/>
          <w:sz w:val="21"/>
          <w:szCs w:val="21"/>
        </w:rPr>
        <w:t>、缔约方大会应在其第三次会议上评价是否继续需要实施第</w:t>
      </w:r>
      <w:r>
        <w:rPr>
          <w:rFonts w:ascii="Arial" w:hAnsi="Arial" w:cs="Arial"/>
          <w:sz w:val="21"/>
          <w:szCs w:val="21"/>
        </w:rPr>
        <w:t>3</w:t>
      </w:r>
      <w:r>
        <w:rPr>
          <w:rFonts w:ascii="Arial" w:hAnsi="Arial" w:cs="Arial"/>
          <w:sz w:val="21"/>
          <w:szCs w:val="21"/>
        </w:rPr>
        <w:t>条第</w:t>
      </w:r>
      <w:r>
        <w:rPr>
          <w:rFonts w:ascii="Arial" w:hAnsi="Arial" w:cs="Arial"/>
          <w:sz w:val="21"/>
          <w:szCs w:val="21"/>
        </w:rPr>
        <w:t>2</w:t>
      </w:r>
      <w:r>
        <w:rPr>
          <w:rFonts w:ascii="Arial" w:hAnsi="Arial" w:cs="Arial"/>
          <w:sz w:val="21"/>
          <w:szCs w:val="21"/>
        </w:rPr>
        <w:t>款（</w:t>
      </w:r>
      <w:r>
        <w:rPr>
          <w:rFonts w:ascii="Arial" w:hAnsi="Arial" w:cs="Arial"/>
          <w:sz w:val="21"/>
          <w:szCs w:val="21"/>
        </w:rPr>
        <w:t>b</w:t>
      </w:r>
      <w:r>
        <w:rPr>
          <w:rFonts w:ascii="Arial" w:hAnsi="Arial" w:cs="Arial"/>
          <w:sz w:val="21"/>
          <w:szCs w:val="21"/>
        </w:rPr>
        <w:t>）项规定的程序及其成效。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8</w:t>
      </w:r>
      <w:r>
        <w:rPr>
          <w:rFonts w:ascii="Arial" w:hAnsi="Arial" w:cs="Arial"/>
          <w:sz w:val="21"/>
          <w:szCs w:val="21"/>
        </w:rPr>
        <w:t>、联合国及其专门机构、国际原子能机构以及任何非本公约缔约方的国家均可作为观察员出席缔约方大会的会议。任何其他组织或机构，无论是国家或国际性质、政府或非政府性质，只要在本公约所涉事项方面具有资格，并已通知秘书处愿意以观察员身份出席缔约方大会的会议，均可被接纳参加会议，除非有至少三分之一的出席缔约方对此表示反对。观察员的接纳和参加会议应遵守缔约方大会所通过的议事规则。</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20</w:t>
      </w:r>
      <w:r>
        <w:rPr>
          <w:rFonts w:ascii="Arial" w:hAnsi="Arial" w:cs="Arial"/>
          <w:sz w:val="21"/>
          <w:szCs w:val="21"/>
        </w:rPr>
        <w:t>条</w:t>
      </w:r>
      <w:r>
        <w:rPr>
          <w:rFonts w:ascii="Arial" w:hAnsi="Arial" w:cs="Arial"/>
          <w:sz w:val="21"/>
          <w:szCs w:val="21"/>
        </w:rPr>
        <w:t xml:space="preserve"> </w:t>
      </w:r>
      <w:r>
        <w:rPr>
          <w:rFonts w:ascii="Arial" w:hAnsi="Arial" w:cs="Arial"/>
          <w:sz w:val="21"/>
          <w:szCs w:val="21"/>
        </w:rPr>
        <w:t>秘书处</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、兹设立秘书处。</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、秘书处的职能应为：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）为缔约方大会及其附属机构的会议作出安排并为之提供所需的服务；</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）根据要求，为协助缔约方，特别是发展中国家缔约方和经济转型国家缔约方实施本公约提供便利；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）确保与其他有关国际组织的秘书处进行必要的协调；</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）基于按照第</w:t>
      </w:r>
      <w:r>
        <w:rPr>
          <w:rFonts w:ascii="Arial" w:hAnsi="Arial" w:cs="Arial"/>
          <w:sz w:val="21"/>
          <w:szCs w:val="21"/>
        </w:rPr>
        <w:t>15</w:t>
      </w:r>
      <w:r>
        <w:rPr>
          <w:rFonts w:ascii="Arial" w:hAnsi="Arial" w:cs="Arial"/>
          <w:sz w:val="21"/>
          <w:szCs w:val="21"/>
        </w:rPr>
        <w:t>条收到的信息以及其他可用信息，定期编制和向缔约方提供报告；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）在缔约方大会的全面指导下，作出为有效履行其职能所需的行政和合同安排；以及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f</w:t>
      </w:r>
      <w:r>
        <w:rPr>
          <w:rFonts w:ascii="Arial" w:hAnsi="Arial" w:cs="Arial"/>
          <w:sz w:val="21"/>
          <w:szCs w:val="21"/>
        </w:rPr>
        <w:t>）履行本公约所规定的其他秘书处职能以及缔约方大会可能为之确定的其他职能。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、本公约的秘书处职能应由联合国环境规划署执行主任履行，除非缔约方大会以出席会议并参加表决的缔约方的四分之三多数决定委托另一个或几个国际组织来履行此种职能。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21</w:t>
      </w:r>
      <w:r>
        <w:rPr>
          <w:rFonts w:ascii="Arial" w:hAnsi="Arial" w:cs="Arial"/>
          <w:sz w:val="21"/>
          <w:szCs w:val="21"/>
        </w:rPr>
        <w:t>条</w:t>
      </w:r>
      <w:r>
        <w:rPr>
          <w:rFonts w:ascii="Arial" w:hAnsi="Arial" w:cs="Arial"/>
          <w:sz w:val="21"/>
          <w:szCs w:val="21"/>
        </w:rPr>
        <w:t xml:space="preserve"> </w:t>
      </w:r>
      <w:r>
        <w:rPr>
          <w:rFonts w:ascii="Arial" w:hAnsi="Arial" w:cs="Arial"/>
          <w:sz w:val="21"/>
          <w:szCs w:val="21"/>
        </w:rPr>
        <w:t>公约的修正</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、任何缔约方均可对本公约提出修正案。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本公约的修正案应在缔约方大会的会议上通过。对本公约提出的任何修正案案文均应由秘书处至少在拟议通过该项修正案的会议举行之前六个月送交各缔约方。秘书处还应将该项提议的修正案送交本公约所有签署方，并呈交保存人阅存。</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缔约方应尽一切努力以协商一致的方式就对本公约提出的任何修正案达成协议。如为谋求协商一致已尽了一切努力而仍未达成协议，则作为最后手段，应以出席会议并参加表决的缔约方的四分之三多数票通过该修正案。</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4</w:t>
      </w:r>
      <w:r>
        <w:rPr>
          <w:rFonts w:ascii="Arial" w:hAnsi="Arial" w:cs="Arial"/>
          <w:sz w:val="21"/>
          <w:szCs w:val="21"/>
        </w:rPr>
        <w:t>、该修正案应由保存人送交所有缔约方，供其批准、接受或核准。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、对修正案的批准、接受或核准应以书面形式通知保存人。依照上述第</w:t>
      </w:r>
      <w:r>
        <w:rPr>
          <w:rFonts w:ascii="Arial" w:hAnsi="Arial" w:cs="Arial"/>
          <w:sz w:val="21"/>
          <w:szCs w:val="21"/>
        </w:rPr>
        <w:t>3</w:t>
      </w:r>
      <w:r>
        <w:rPr>
          <w:rFonts w:ascii="Arial" w:hAnsi="Arial" w:cs="Arial"/>
          <w:sz w:val="21"/>
          <w:szCs w:val="21"/>
        </w:rPr>
        <w:t>款通过的修正案，应自至少四分之三的缔约方交存批准、接受或核准文书之日后的第九十天起对接受该修正案的各缔约方生效。其后任何其他缔约方自交存批准、接受或核准修正案的文书后的第九十天起，该修正案即开始对其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22</w:t>
      </w:r>
      <w:r>
        <w:rPr>
          <w:rFonts w:ascii="Arial" w:hAnsi="Arial" w:cs="Arial"/>
          <w:sz w:val="21"/>
          <w:szCs w:val="21"/>
        </w:rPr>
        <w:t>条</w:t>
      </w:r>
      <w:r>
        <w:rPr>
          <w:rFonts w:ascii="Arial" w:hAnsi="Arial" w:cs="Arial"/>
          <w:sz w:val="21"/>
          <w:szCs w:val="21"/>
        </w:rPr>
        <w:t xml:space="preserve"> </w:t>
      </w:r>
      <w:r>
        <w:rPr>
          <w:rFonts w:ascii="Arial" w:hAnsi="Arial" w:cs="Arial"/>
          <w:sz w:val="21"/>
          <w:szCs w:val="21"/>
        </w:rPr>
        <w:t>附件的通过和修正</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、本公约的各项附件构成本公约不可分割的组成部分，除非另有明文规定，凡提及本公约时，亦包括其所有附件在内。</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、任何增补附件应仅限于程序、科学、技术或行政事项。</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、下列程序应适用于本公约任何增补附件的提出、通过和生效：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）增补附件应根据第</w:t>
      </w:r>
      <w:r>
        <w:rPr>
          <w:rFonts w:ascii="Arial" w:hAnsi="Arial" w:cs="Arial"/>
          <w:sz w:val="21"/>
          <w:szCs w:val="21"/>
        </w:rPr>
        <w:t>21</w:t>
      </w:r>
      <w:r>
        <w:rPr>
          <w:rFonts w:ascii="Arial" w:hAnsi="Arial" w:cs="Arial"/>
          <w:sz w:val="21"/>
          <w:szCs w:val="21"/>
        </w:rPr>
        <w:t>条第</w:t>
      </w:r>
      <w:r>
        <w:rPr>
          <w:rFonts w:ascii="Arial" w:hAnsi="Arial" w:cs="Arial"/>
          <w:sz w:val="21"/>
          <w:szCs w:val="21"/>
        </w:rPr>
        <w:t>1</w:t>
      </w:r>
      <w:r>
        <w:rPr>
          <w:rFonts w:ascii="Arial" w:hAnsi="Arial" w:cs="Arial"/>
          <w:sz w:val="21"/>
          <w:szCs w:val="21"/>
        </w:rPr>
        <w:t>、</w:t>
      </w:r>
      <w:r>
        <w:rPr>
          <w:rFonts w:ascii="Arial" w:hAnsi="Arial" w:cs="Arial"/>
          <w:sz w:val="21"/>
          <w:szCs w:val="21"/>
        </w:rPr>
        <w:t>2</w:t>
      </w:r>
      <w:r>
        <w:rPr>
          <w:rFonts w:ascii="Arial" w:hAnsi="Arial" w:cs="Arial"/>
          <w:sz w:val="21"/>
          <w:szCs w:val="21"/>
        </w:rPr>
        <w:t>和</w:t>
      </w:r>
      <w:r>
        <w:rPr>
          <w:rFonts w:ascii="Arial" w:hAnsi="Arial" w:cs="Arial"/>
          <w:sz w:val="21"/>
          <w:szCs w:val="21"/>
        </w:rPr>
        <w:t>3</w:t>
      </w:r>
      <w:r>
        <w:rPr>
          <w:rFonts w:ascii="Arial" w:hAnsi="Arial" w:cs="Arial"/>
          <w:sz w:val="21"/>
          <w:szCs w:val="21"/>
        </w:rPr>
        <w:t>款规定的程序提出和通过；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任何缔约方如不能接受某一增补附件，则应在保存人就通过该增补附件发出通知之日起一年内将此种情况书面通知保存人。保存人应在接获任何此类通知后立即通知所有缔约方。缔约方可随时撤销先前对某一增补附件提出的不予接受的通知，据此该附件即应根据（</w:t>
      </w:r>
      <w:r>
        <w:rPr>
          <w:rFonts w:ascii="Arial" w:hAnsi="Arial" w:cs="Arial"/>
          <w:sz w:val="21"/>
          <w:szCs w:val="21"/>
        </w:rPr>
        <w:t>c</w:t>
      </w:r>
      <w:r>
        <w:rPr>
          <w:rFonts w:ascii="Arial" w:hAnsi="Arial" w:cs="Arial"/>
          <w:sz w:val="21"/>
          <w:szCs w:val="21"/>
        </w:rPr>
        <w:t>）项的规定对该缔约方生效；和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）在保存人就通过一项增补附件发出通知之日起一年后，该附件便应对未曾依（</w:t>
      </w:r>
      <w:r>
        <w:rPr>
          <w:rFonts w:ascii="Arial" w:hAnsi="Arial" w:cs="Arial"/>
          <w:sz w:val="21"/>
          <w:szCs w:val="21"/>
        </w:rPr>
        <w:t>b</w:t>
      </w:r>
      <w:r>
        <w:rPr>
          <w:rFonts w:ascii="Arial" w:hAnsi="Arial" w:cs="Arial"/>
          <w:sz w:val="21"/>
          <w:szCs w:val="21"/>
        </w:rPr>
        <w:t>）项规定提交通知的本公约所有缔约方生效。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、对附件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或</w:t>
      </w:r>
      <w:r>
        <w:rPr>
          <w:rFonts w:ascii="Arial" w:hAnsi="Arial" w:cs="Arial"/>
          <w:sz w:val="21"/>
          <w:szCs w:val="21"/>
        </w:rPr>
        <w:t>C</w:t>
      </w:r>
      <w:r>
        <w:rPr>
          <w:rFonts w:ascii="Arial" w:hAnsi="Arial" w:cs="Arial"/>
          <w:sz w:val="21"/>
          <w:szCs w:val="21"/>
        </w:rPr>
        <w:t>的修正案的提出、通过和生效均应遵守本公约增补附件的提出、通过和生效所采用的相同程序，但如果任何缔约方已按照第</w:t>
      </w:r>
      <w:r>
        <w:rPr>
          <w:rFonts w:ascii="Arial" w:hAnsi="Arial" w:cs="Arial"/>
          <w:sz w:val="21"/>
          <w:szCs w:val="21"/>
        </w:rPr>
        <w:t>25</w:t>
      </w:r>
      <w:r>
        <w:rPr>
          <w:rFonts w:ascii="Arial" w:hAnsi="Arial" w:cs="Arial"/>
          <w:sz w:val="21"/>
          <w:szCs w:val="21"/>
        </w:rPr>
        <w:t>条第</w:t>
      </w:r>
      <w:r>
        <w:rPr>
          <w:rFonts w:ascii="Arial" w:hAnsi="Arial" w:cs="Arial"/>
          <w:sz w:val="21"/>
          <w:szCs w:val="21"/>
        </w:rPr>
        <w:t>4</w:t>
      </w:r>
      <w:r>
        <w:rPr>
          <w:rFonts w:ascii="Arial" w:hAnsi="Arial" w:cs="Arial"/>
          <w:sz w:val="21"/>
          <w:szCs w:val="21"/>
        </w:rPr>
        <w:t>款针对关于附件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或</w:t>
      </w:r>
      <w:r>
        <w:rPr>
          <w:rFonts w:ascii="Arial" w:hAnsi="Arial" w:cs="Arial"/>
          <w:sz w:val="21"/>
          <w:szCs w:val="21"/>
        </w:rPr>
        <w:t>C</w:t>
      </w:r>
      <w:r>
        <w:rPr>
          <w:rFonts w:ascii="Arial" w:hAnsi="Arial" w:cs="Arial"/>
          <w:sz w:val="21"/>
          <w:szCs w:val="21"/>
        </w:rPr>
        <w:t>的修正案作出了声明，则这些修正案便不得对该缔约方生效，在此种情况下，任何此种修正案应自此种缔约方向保存人交存了其批准、接受、核准或加入此种修正案的文书后第九十天起开始对之生效。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、下列程序应适用于对附件</w:t>
      </w:r>
      <w:r>
        <w:rPr>
          <w:rFonts w:ascii="Arial" w:hAnsi="Arial" w:cs="Arial"/>
          <w:sz w:val="21"/>
          <w:szCs w:val="21"/>
        </w:rPr>
        <w:t>D</w:t>
      </w:r>
      <w:r>
        <w:rPr>
          <w:rFonts w:ascii="Arial" w:hAnsi="Arial" w:cs="Arial"/>
          <w:sz w:val="21"/>
          <w:szCs w:val="21"/>
        </w:rPr>
        <w:t>．</w:t>
      </w:r>
      <w:r>
        <w:rPr>
          <w:rFonts w:ascii="Arial" w:hAnsi="Arial" w:cs="Arial"/>
          <w:sz w:val="21"/>
          <w:szCs w:val="21"/>
        </w:rPr>
        <w:t>E</w:t>
      </w:r>
      <w:r>
        <w:rPr>
          <w:rFonts w:ascii="Arial" w:hAnsi="Arial" w:cs="Arial"/>
          <w:sz w:val="21"/>
          <w:szCs w:val="21"/>
        </w:rPr>
        <w:t>或</w:t>
      </w:r>
      <w:r>
        <w:rPr>
          <w:rFonts w:ascii="Arial" w:hAnsi="Arial" w:cs="Arial"/>
          <w:sz w:val="21"/>
          <w:szCs w:val="21"/>
        </w:rPr>
        <w:t>F</w:t>
      </w:r>
      <w:r>
        <w:rPr>
          <w:rFonts w:ascii="Arial" w:hAnsi="Arial" w:cs="Arial"/>
          <w:sz w:val="21"/>
          <w:szCs w:val="21"/>
        </w:rPr>
        <w:t>的修正案的提出、通过和生效：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）修正案应按照第</w:t>
      </w:r>
      <w:r>
        <w:rPr>
          <w:rFonts w:ascii="Arial" w:hAnsi="Arial" w:cs="Arial"/>
          <w:sz w:val="21"/>
          <w:szCs w:val="21"/>
        </w:rPr>
        <w:t>21</w:t>
      </w:r>
      <w:r>
        <w:rPr>
          <w:rFonts w:ascii="Arial" w:hAnsi="Arial" w:cs="Arial"/>
          <w:sz w:val="21"/>
          <w:szCs w:val="21"/>
        </w:rPr>
        <w:t>条第</w:t>
      </w:r>
      <w:r>
        <w:rPr>
          <w:rFonts w:ascii="Arial" w:hAnsi="Arial" w:cs="Arial"/>
          <w:sz w:val="21"/>
          <w:szCs w:val="21"/>
        </w:rPr>
        <w:t>1</w:t>
      </w:r>
      <w:r>
        <w:rPr>
          <w:rFonts w:ascii="Arial" w:hAnsi="Arial" w:cs="Arial"/>
          <w:sz w:val="21"/>
          <w:szCs w:val="21"/>
        </w:rPr>
        <w:t>和</w:t>
      </w:r>
      <w:r>
        <w:rPr>
          <w:rFonts w:ascii="Arial" w:hAnsi="Arial" w:cs="Arial"/>
          <w:sz w:val="21"/>
          <w:szCs w:val="21"/>
        </w:rPr>
        <w:t>2</w:t>
      </w:r>
      <w:r>
        <w:rPr>
          <w:rFonts w:ascii="Arial" w:hAnsi="Arial" w:cs="Arial"/>
          <w:sz w:val="21"/>
          <w:szCs w:val="21"/>
        </w:rPr>
        <w:t>款所列程序提出；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）缔约方应以协商一致方式就附件</w:t>
      </w:r>
      <w:r>
        <w:rPr>
          <w:rFonts w:ascii="Arial" w:hAnsi="Arial" w:cs="Arial"/>
          <w:sz w:val="21"/>
          <w:szCs w:val="21"/>
        </w:rPr>
        <w:t>D</w:t>
      </w:r>
      <w:r>
        <w:rPr>
          <w:rFonts w:ascii="Arial" w:hAnsi="Arial" w:cs="Arial"/>
          <w:sz w:val="21"/>
          <w:szCs w:val="21"/>
        </w:rPr>
        <w:t>．</w:t>
      </w:r>
      <w:r>
        <w:rPr>
          <w:rFonts w:ascii="Arial" w:hAnsi="Arial" w:cs="Arial"/>
          <w:sz w:val="21"/>
          <w:szCs w:val="21"/>
        </w:rPr>
        <w:t>E</w:t>
      </w:r>
      <w:r>
        <w:rPr>
          <w:rFonts w:ascii="Arial" w:hAnsi="Arial" w:cs="Arial"/>
          <w:sz w:val="21"/>
          <w:szCs w:val="21"/>
        </w:rPr>
        <w:t>或</w:t>
      </w:r>
      <w:r>
        <w:rPr>
          <w:rFonts w:ascii="Arial" w:hAnsi="Arial" w:cs="Arial"/>
          <w:sz w:val="21"/>
          <w:szCs w:val="21"/>
        </w:rPr>
        <w:t>F</w:t>
      </w:r>
      <w:r>
        <w:rPr>
          <w:rFonts w:ascii="Arial" w:hAnsi="Arial" w:cs="Arial"/>
          <w:sz w:val="21"/>
          <w:szCs w:val="21"/>
        </w:rPr>
        <w:t>的修正案作出决定；和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）保存人应迅速将修正附件</w:t>
      </w:r>
      <w:r>
        <w:rPr>
          <w:rFonts w:ascii="Arial" w:hAnsi="Arial" w:cs="Arial"/>
          <w:sz w:val="21"/>
          <w:szCs w:val="21"/>
        </w:rPr>
        <w:t>D</w:t>
      </w:r>
      <w:r>
        <w:rPr>
          <w:rFonts w:ascii="Arial" w:hAnsi="Arial" w:cs="Arial"/>
          <w:sz w:val="21"/>
          <w:szCs w:val="21"/>
        </w:rPr>
        <w:t>．</w:t>
      </w:r>
      <w:r>
        <w:rPr>
          <w:rFonts w:ascii="Arial" w:hAnsi="Arial" w:cs="Arial"/>
          <w:sz w:val="21"/>
          <w:szCs w:val="21"/>
        </w:rPr>
        <w:t>E</w:t>
      </w:r>
      <w:r>
        <w:rPr>
          <w:rFonts w:ascii="Arial" w:hAnsi="Arial" w:cs="Arial"/>
          <w:sz w:val="21"/>
          <w:szCs w:val="21"/>
        </w:rPr>
        <w:t>或</w:t>
      </w:r>
      <w:r>
        <w:rPr>
          <w:rFonts w:ascii="Arial" w:hAnsi="Arial" w:cs="Arial"/>
          <w:sz w:val="21"/>
          <w:szCs w:val="21"/>
        </w:rPr>
        <w:t>F</w:t>
      </w:r>
      <w:r>
        <w:rPr>
          <w:rFonts w:ascii="Arial" w:hAnsi="Arial" w:cs="Arial"/>
          <w:sz w:val="21"/>
          <w:szCs w:val="21"/>
        </w:rPr>
        <w:t>的决定通知各缔约方。该修正案应在该项决定所确定的日期对所有缔约方生效。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6</w:t>
      </w:r>
      <w:r>
        <w:rPr>
          <w:rFonts w:ascii="Arial" w:hAnsi="Arial" w:cs="Arial"/>
          <w:sz w:val="21"/>
          <w:szCs w:val="21"/>
        </w:rPr>
        <w:t>、如果一项增补附件或对某一附件的修正案与对本公约的一项修正案相关联，则该增补附件或修正案不得在本公约的该项修正案之前生效。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第</w:t>
      </w:r>
      <w:r>
        <w:rPr>
          <w:rFonts w:ascii="Arial" w:hAnsi="Arial" w:cs="Arial"/>
          <w:sz w:val="21"/>
          <w:szCs w:val="21"/>
        </w:rPr>
        <w:t>23</w:t>
      </w:r>
      <w:r>
        <w:rPr>
          <w:rFonts w:ascii="Arial" w:hAnsi="Arial" w:cs="Arial"/>
          <w:sz w:val="21"/>
          <w:szCs w:val="21"/>
        </w:rPr>
        <w:t>条</w:t>
      </w:r>
      <w:r>
        <w:rPr>
          <w:rFonts w:ascii="Arial" w:hAnsi="Arial" w:cs="Arial"/>
          <w:sz w:val="21"/>
          <w:szCs w:val="21"/>
        </w:rPr>
        <w:t xml:space="preserve"> </w:t>
      </w:r>
      <w:r>
        <w:rPr>
          <w:rFonts w:ascii="Arial" w:hAnsi="Arial" w:cs="Arial"/>
          <w:sz w:val="21"/>
          <w:szCs w:val="21"/>
        </w:rPr>
        <w:t>表决权</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、除第</w:t>
      </w:r>
      <w:r>
        <w:rPr>
          <w:rFonts w:ascii="Arial" w:hAnsi="Arial" w:cs="Arial"/>
          <w:sz w:val="21"/>
          <w:szCs w:val="21"/>
        </w:rPr>
        <w:t>2</w:t>
      </w:r>
      <w:r>
        <w:rPr>
          <w:rFonts w:ascii="Arial" w:hAnsi="Arial" w:cs="Arial"/>
          <w:sz w:val="21"/>
          <w:szCs w:val="21"/>
        </w:rPr>
        <w:t>款规定外，本公约每一缔约方均应拥有一票表决权。</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、区域经济一体化组织对属于其权限范围内的事项行使表决权时，其票数应与其作为本公约缔约方的成员国数目相同。如果此类组织的任何成员国行使表决权，则该组织便不得行使表决权，反之亦然。</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24</w:t>
      </w:r>
      <w:r>
        <w:rPr>
          <w:rFonts w:ascii="Arial" w:hAnsi="Arial" w:cs="Arial"/>
          <w:sz w:val="21"/>
          <w:szCs w:val="21"/>
        </w:rPr>
        <w:t>条</w:t>
      </w:r>
      <w:r>
        <w:rPr>
          <w:rFonts w:ascii="Arial" w:hAnsi="Arial" w:cs="Arial"/>
          <w:sz w:val="21"/>
          <w:szCs w:val="21"/>
        </w:rPr>
        <w:t xml:space="preserve"> </w:t>
      </w:r>
      <w:r>
        <w:rPr>
          <w:rFonts w:ascii="Arial" w:hAnsi="Arial" w:cs="Arial"/>
          <w:sz w:val="21"/>
          <w:szCs w:val="21"/>
        </w:rPr>
        <w:t>签署</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本公约应于</w:t>
      </w:r>
      <w:r>
        <w:rPr>
          <w:rFonts w:ascii="Arial" w:hAnsi="Arial" w:cs="Arial"/>
          <w:sz w:val="21"/>
          <w:szCs w:val="21"/>
        </w:rPr>
        <w:t>2001</w:t>
      </w:r>
      <w:r>
        <w:rPr>
          <w:rFonts w:ascii="Arial" w:hAnsi="Arial" w:cs="Arial"/>
          <w:sz w:val="21"/>
          <w:szCs w:val="21"/>
        </w:rPr>
        <w:t>年</w:t>
      </w:r>
      <w:r>
        <w:rPr>
          <w:rFonts w:ascii="Arial" w:hAnsi="Arial" w:cs="Arial"/>
          <w:sz w:val="21"/>
          <w:szCs w:val="21"/>
        </w:rPr>
        <w:t>5</w:t>
      </w:r>
      <w:r>
        <w:rPr>
          <w:rFonts w:ascii="Arial" w:hAnsi="Arial" w:cs="Arial"/>
          <w:sz w:val="21"/>
          <w:szCs w:val="21"/>
        </w:rPr>
        <w:t>月</w:t>
      </w:r>
      <w:r>
        <w:rPr>
          <w:rFonts w:ascii="Arial" w:hAnsi="Arial" w:cs="Arial"/>
          <w:sz w:val="21"/>
          <w:szCs w:val="21"/>
        </w:rPr>
        <w:t>23</w:t>
      </w:r>
      <w:r>
        <w:rPr>
          <w:rFonts w:ascii="Arial" w:hAnsi="Arial" w:cs="Arial"/>
          <w:sz w:val="21"/>
          <w:szCs w:val="21"/>
        </w:rPr>
        <w:t>日在斯德哥尔摩，并自</w:t>
      </w:r>
      <w:r>
        <w:rPr>
          <w:rFonts w:ascii="Arial" w:hAnsi="Arial" w:cs="Arial"/>
          <w:sz w:val="21"/>
          <w:szCs w:val="21"/>
        </w:rPr>
        <w:t>2001</w:t>
      </w:r>
      <w:r>
        <w:rPr>
          <w:rFonts w:ascii="Arial" w:hAnsi="Arial" w:cs="Arial"/>
          <w:sz w:val="21"/>
          <w:szCs w:val="21"/>
        </w:rPr>
        <w:t>年</w:t>
      </w:r>
      <w:r>
        <w:rPr>
          <w:rFonts w:ascii="Arial" w:hAnsi="Arial" w:cs="Arial"/>
          <w:sz w:val="21"/>
          <w:szCs w:val="21"/>
        </w:rPr>
        <w:t>5</w:t>
      </w:r>
      <w:r>
        <w:rPr>
          <w:rFonts w:ascii="Arial" w:hAnsi="Arial" w:cs="Arial"/>
          <w:sz w:val="21"/>
          <w:szCs w:val="21"/>
        </w:rPr>
        <w:t>月</w:t>
      </w:r>
      <w:r>
        <w:rPr>
          <w:rFonts w:ascii="Arial" w:hAnsi="Arial" w:cs="Arial"/>
          <w:sz w:val="21"/>
          <w:szCs w:val="21"/>
        </w:rPr>
        <w:t>24</w:t>
      </w:r>
      <w:r>
        <w:rPr>
          <w:rFonts w:ascii="Arial" w:hAnsi="Arial" w:cs="Arial"/>
          <w:sz w:val="21"/>
          <w:szCs w:val="21"/>
        </w:rPr>
        <w:t>日至</w:t>
      </w:r>
      <w:r>
        <w:rPr>
          <w:rFonts w:ascii="Arial" w:hAnsi="Arial" w:cs="Arial"/>
          <w:sz w:val="21"/>
          <w:szCs w:val="21"/>
        </w:rPr>
        <w:t>2002</w:t>
      </w:r>
      <w:r>
        <w:rPr>
          <w:rFonts w:ascii="Arial" w:hAnsi="Arial" w:cs="Arial"/>
          <w:sz w:val="21"/>
          <w:szCs w:val="21"/>
        </w:rPr>
        <w:t>年</w:t>
      </w:r>
      <w:r>
        <w:rPr>
          <w:rFonts w:ascii="Arial" w:hAnsi="Arial" w:cs="Arial"/>
          <w:sz w:val="21"/>
          <w:szCs w:val="21"/>
        </w:rPr>
        <w:t>5</w:t>
      </w:r>
      <w:r>
        <w:rPr>
          <w:rFonts w:ascii="Arial" w:hAnsi="Arial" w:cs="Arial"/>
          <w:sz w:val="21"/>
          <w:szCs w:val="21"/>
        </w:rPr>
        <w:t>月</w:t>
      </w:r>
      <w:r>
        <w:rPr>
          <w:rFonts w:ascii="Arial" w:hAnsi="Arial" w:cs="Arial"/>
          <w:sz w:val="21"/>
          <w:szCs w:val="21"/>
        </w:rPr>
        <w:t>22</w:t>
      </w:r>
      <w:r>
        <w:rPr>
          <w:rFonts w:ascii="Arial" w:hAnsi="Arial" w:cs="Arial"/>
          <w:sz w:val="21"/>
          <w:szCs w:val="21"/>
        </w:rPr>
        <w:t>日在纽约联合国总部开放供所有国家和区域经济一体化组织签署。</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25</w:t>
      </w:r>
      <w:r>
        <w:rPr>
          <w:rFonts w:ascii="Arial" w:hAnsi="Arial" w:cs="Arial"/>
          <w:sz w:val="21"/>
          <w:szCs w:val="21"/>
        </w:rPr>
        <w:t>条</w:t>
      </w:r>
      <w:r>
        <w:rPr>
          <w:rFonts w:ascii="Arial" w:hAnsi="Arial" w:cs="Arial"/>
          <w:sz w:val="21"/>
          <w:szCs w:val="21"/>
        </w:rPr>
        <w:t xml:space="preserve"> </w:t>
      </w:r>
      <w:r>
        <w:rPr>
          <w:rFonts w:ascii="Arial" w:hAnsi="Arial" w:cs="Arial"/>
          <w:sz w:val="21"/>
          <w:szCs w:val="21"/>
        </w:rPr>
        <w:t>批准、接受、核准或加入</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、本公约须经各国和各区域经济一体化组织批准、接受或核准。本公约应从签署截止之日后开放供各国和各区域经济一体化组织加入。批准、接受、核准或加入书应交存于保存人。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任何已成为本公约缔约方，但其成员国却均未成为缔约方的区域性经济一体化组织应受本公约下一切义务的约束。如果此类组织的一个或多个成员国为本公约的缔约方，则该组织及其成员国便应决定其各自在履行公约义务方面的责任。在此种情况下，该组织及其成员国无权同时行使本公约所规定的权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、区域经济一体化组织应在其批准、接受、核准或加入书中声明其在本公约所规定事项上的权限。任何此类组织还应将其权限范围的任何有关变更通知保存人，再由保存人通知各缔约方。</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、任何缔约方均可在其批准、接受、核准或加入文书中作出如下声明：就该缔约方而言，对附件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或</w:t>
      </w:r>
      <w:r>
        <w:rPr>
          <w:rFonts w:ascii="Arial" w:hAnsi="Arial" w:cs="Arial"/>
          <w:sz w:val="21"/>
          <w:szCs w:val="21"/>
        </w:rPr>
        <w:t>C</w:t>
      </w:r>
      <w:r>
        <w:rPr>
          <w:rFonts w:ascii="Arial" w:hAnsi="Arial" w:cs="Arial"/>
          <w:sz w:val="21"/>
          <w:szCs w:val="21"/>
        </w:rPr>
        <w:t>的任何修正案，只有在其针对该项修正案交存了其批准、接受、核准或加入文书之后才能对其生效。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26</w:t>
      </w:r>
      <w:r>
        <w:rPr>
          <w:rFonts w:ascii="Arial" w:hAnsi="Arial" w:cs="Arial"/>
          <w:sz w:val="21"/>
          <w:szCs w:val="21"/>
        </w:rPr>
        <w:t>条</w:t>
      </w:r>
      <w:r>
        <w:rPr>
          <w:rFonts w:ascii="Arial" w:hAnsi="Arial" w:cs="Arial"/>
          <w:sz w:val="21"/>
          <w:szCs w:val="21"/>
        </w:rPr>
        <w:t xml:space="preserve"> </w:t>
      </w:r>
      <w:r>
        <w:rPr>
          <w:rFonts w:ascii="Arial" w:hAnsi="Arial" w:cs="Arial"/>
          <w:sz w:val="21"/>
          <w:szCs w:val="21"/>
        </w:rPr>
        <w:t>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、本公约应自第五十份批准、接受、核准或加入文书交存之日后第九十天起生效。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对于在第五十份批准、接受、核准或加入的文书交存之后批准、接受、核准或加入本公约的每一国家或区域经济一体化组织，本公约应自该国或该区域经济一体化组织交存其批准、接受、核准或加入文书之日后第九十天起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、为第</w:t>
      </w:r>
      <w:r>
        <w:rPr>
          <w:rFonts w:ascii="Arial" w:hAnsi="Arial" w:cs="Arial"/>
          <w:sz w:val="21"/>
          <w:szCs w:val="21"/>
        </w:rPr>
        <w:t>1</w:t>
      </w:r>
      <w:r>
        <w:rPr>
          <w:rFonts w:ascii="Arial" w:hAnsi="Arial" w:cs="Arial"/>
          <w:sz w:val="21"/>
          <w:szCs w:val="21"/>
        </w:rPr>
        <w:t>和</w:t>
      </w:r>
      <w:r>
        <w:rPr>
          <w:rFonts w:ascii="Arial" w:hAnsi="Arial" w:cs="Arial"/>
          <w:sz w:val="21"/>
          <w:szCs w:val="21"/>
        </w:rPr>
        <w:t>2</w:t>
      </w:r>
      <w:r>
        <w:rPr>
          <w:rFonts w:ascii="Arial" w:hAnsi="Arial" w:cs="Arial"/>
          <w:sz w:val="21"/>
          <w:szCs w:val="21"/>
        </w:rPr>
        <w:t>款的目的，区域经济一体化组织所交存的任何文书不应视为该组织成员国所交存文书之外的额外文书。</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27</w:t>
      </w:r>
      <w:r>
        <w:rPr>
          <w:rFonts w:ascii="Arial" w:hAnsi="Arial" w:cs="Arial"/>
          <w:sz w:val="21"/>
          <w:szCs w:val="21"/>
        </w:rPr>
        <w:t>条</w:t>
      </w:r>
      <w:r>
        <w:rPr>
          <w:rFonts w:ascii="Arial" w:hAnsi="Arial" w:cs="Arial"/>
          <w:sz w:val="21"/>
          <w:szCs w:val="21"/>
        </w:rPr>
        <w:t xml:space="preserve"> </w:t>
      </w:r>
      <w:r>
        <w:rPr>
          <w:rFonts w:ascii="Arial" w:hAnsi="Arial" w:cs="Arial"/>
          <w:sz w:val="21"/>
          <w:szCs w:val="21"/>
        </w:rPr>
        <w:t>保留</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不得对本公约作任何保留。</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28</w:t>
      </w:r>
      <w:r>
        <w:rPr>
          <w:rFonts w:ascii="Arial" w:hAnsi="Arial" w:cs="Arial"/>
          <w:sz w:val="21"/>
          <w:szCs w:val="21"/>
        </w:rPr>
        <w:t>条</w:t>
      </w:r>
      <w:r>
        <w:rPr>
          <w:rFonts w:ascii="Arial" w:hAnsi="Arial" w:cs="Arial"/>
          <w:sz w:val="21"/>
          <w:szCs w:val="21"/>
        </w:rPr>
        <w:t xml:space="preserve"> </w:t>
      </w:r>
      <w:r>
        <w:rPr>
          <w:rFonts w:ascii="Arial" w:hAnsi="Arial" w:cs="Arial"/>
          <w:sz w:val="21"/>
          <w:szCs w:val="21"/>
        </w:rPr>
        <w:t>退出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、自本公约对一缔约方生效之日起三年后，该缔约方可随时向保存人发出书面通知，退出本公约。</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、任何此种退出应在保存人收到退出通知之日起一年后生效，或在退出通知中可能指定的一个更晚日期生效。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29</w:t>
      </w:r>
      <w:r>
        <w:rPr>
          <w:rFonts w:ascii="Arial" w:hAnsi="Arial" w:cs="Arial"/>
          <w:sz w:val="21"/>
          <w:szCs w:val="21"/>
        </w:rPr>
        <w:t>条</w:t>
      </w:r>
      <w:r>
        <w:rPr>
          <w:rFonts w:ascii="Arial" w:hAnsi="Arial" w:cs="Arial"/>
          <w:sz w:val="21"/>
          <w:szCs w:val="21"/>
        </w:rPr>
        <w:t xml:space="preserve"> </w:t>
      </w:r>
      <w:r>
        <w:rPr>
          <w:rFonts w:ascii="Arial" w:hAnsi="Arial" w:cs="Arial"/>
          <w:sz w:val="21"/>
          <w:szCs w:val="21"/>
        </w:rPr>
        <w:t>保存人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联合国秘书长应为本公约保存人。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w:t>
      </w:r>
      <w:r>
        <w:rPr>
          <w:rFonts w:ascii="Arial" w:hAnsi="Arial" w:cs="Arial"/>
          <w:sz w:val="21"/>
          <w:szCs w:val="21"/>
        </w:rPr>
        <w:t>30</w:t>
      </w:r>
      <w:r>
        <w:rPr>
          <w:rFonts w:ascii="Arial" w:hAnsi="Arial" w:cs="Arial"/>
          <w:sz w:val="21"/>
          <w:szCs w:val="21"/>
        </w:rPr>
        <w:t>条</w:t>
      </w:r>
      <w:r>
        <w:rPr>
          <w:rFonts w:ascii="Arial" w:hAnsi="Arial" w:cs="Arial"/>
          <w:sz w:val="21"/>
          <w:szCs w:val="21"/>
        </w:rPr>
        <w:t xml:space="preserve"> </w:t>
      </w:r>
      <w:r>
        <w:rPr>
          <w:rFonts w:ascii="Arial" w:hAnsi="Arial" w:cs="Arial"/>
          <w:sz w:val="21"/>
          <w:szCs w:val="21"/>
        </w:rPr>
        <w:t>作准文本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本公约正本应交存于联合国秘书长，其阿拉伯文、中文、英文、法文、俄文和西班牙文文本同等作准。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下列签字人，经正式授权，在本公约上签字，以昭信守。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公元二</w:t>
      </w:r>
      <w:r>
        <w:rPr>
          <w:rFonts w:ascii="Arial" w:hAnsi="Arial" w:cs="Arial"/>
          <w:sz w:val="21"/>
          <w:szCs w:val="21"/>
        </w:rPr>
        <w:t>○○</w:t>
      </w:r>
      <w:r>
        <w:rPr>
          <w:rFonts w:ascii="Arial" w:hAnsi="Arial" w:cs="Arial"/>
          <w:sz w:val="21"/>
          <w:szCs w:val="21"/>
        </w:rPr>
        <w:t>一年五月二十二日谨订于斯德哥尔摩。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附件</w:t>
      </w:r>
      <w:r>
        <w:rPr>
          <w:rFonts w:ascii="Arial" w:hAnsi="Arial" w:cs="Arial"/>
          <w:sz w:val="21"/>
          <w:szCs w:val="21"/>
        </w:rPr>
        <w:t>A</w:t>
      </w:r>
      <w:r>
        <w:rPr>
          <w:rFonts w:ascii="Arial" w:hAnsi="Arial" w:cs="Arial"/>
          <w:sz w:val="21"/>
          <w:szCs w:val="21"/>
        </w:rPr>
        <w:t>：</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消</w:t>
      </w:r>
      <w:r>
        <w:rPr>
          <w:rFonts w:ascii="Arial" w:hAnsi="Arial" w:cs="Arial"/>
          <w:sz w:val="21"/>
          <w:szCs w:val="21"/>
        </w:rPr>
        <w:t xml:space="preserve"> </w:t>
      </w:r>
      <w:r>
        <w:rPr>
          <w:rFonts w:ascii="Arial" w:hAnsi="Arial" w:cs="Arial"/>
          <w:sz w:val="21"/>
          <w:szCs w:val="21"/>
        </w:rPr>
        <w:t>除</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第一部分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化学品</w:t>
      </w:r>
      <w:r>
        <w:rPr>
          <w:rFonts w:ascii="Arial" w:hAnsi="Arial" w:cs="Arial"/>
          <w:sz w:val="21"/>
          <w:szCs w:val="21"/>
        </w:rPr>
        <w:t xml:space="preserve"> </w:t>
      </w:r>
      <w:r>
        <w:rPr>
          <w:rFonts w:ascii="Arial" w:hAnsi="Arial" w:cs="Arial"/>
          <w:sz w:val="21"/>
          <w:szCs w:val="21"/>
        </w:rPr>
        <w:t>活</w:t>
      </w:r>
      <w:r>
        <w:rPr>
          <w:rFonts w:ascii="Arial" w:hAnsi="Arial" w:cs="Arial"/>
          <w:sz w:val="21"/>
          <w:szCs w:val="21"/>
        </w:rPr>
        <w:t xml:space="preserve"> </w:t>
      </w:r>
      <w:r>
        <w:rPr>
          <w:rFonts w:ascii="Arial" w:hAnsi="Arial" w:cs="Arial"/>
          <w:sz w:val="21"/>
          <w:szCs w:val="21"/>
        </w:rPr>
        <w:t>动</w:t>
      </w:r>
      <w:r>
        <w:rPr>
          <w:rFonts w:ascii="Arial" w:hAnsi="Arial" w:cs="Arial"/>
          <w:sz w:val="21"/>
          <w:szCs w:val="21"/>
        </w:rPr>
        <w:t xml:space="preserve"> </w:t>
      </w:r>
      <w:r>
        <w:rPr>
          <w:rFonts w:ascii="Arial" w:hAnsi="Arial" w:cs="Arial"/>
          <w:sz w:val="21"/>
          <w:szCs w:val="21"/>
        </w:rPr>
        <w:t>特定豁免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艾氏剂</w:t>
      </w:r>
      <w:r>
        <w:rPr>
          <w:rFonts w:ascii="Arial" w:hAnsi="Arial" w:cs="Arial"/>
          <w:sz w:val="21"/>
          <w:szCs w:val="21"/>
        </w:rPr>
        <w:t xml:space="preserve">*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无</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化学文摘号：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 xml:space="preserve">309-00-2 </w:t>
      </w:r>
      <w:r>
        <w:rPr>
          <w:rFonts w:ascii="Arial" w:hAnsi="Arial" w:cs="Arial"/>
          <w:sz w:val="21"/>
          <w:szCs w:val="21"/>
        </w:rPr>
        <w:t>使用</w:t>
      </w:r>
      <w:r>
        <w:rPr>
          <w:rFonts w:ascii="Arial" w:hAnsi="Arial" w:cs="Arial"/>
          <w:sz w:val="21"/>
          <w:szCs w:val="21"/>
        </w:rPr>
        <w:t xml:space="preserve"> </w:t>
      </w:r>
      <w:r>
        <w:rPr>
          <w:rFonts w:ascii="Arial" w:hAnsi="Arial" w:cs="Arial"/>
          <w:sz w:val="21"/>
          <w:szCs w:val="21"/>
        </w:rPr>
        <w:t>当地使用的杀体外寄生物药杀虫剂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氯丹</w:t>
      </w:r>
      <w:r>
        <w:rPr>
          <w:rFonts w:ascii="Arial" w:hAnsi="Arial" w:cs="Arial"/>
          <w:sz w:val="21"/>
          <w:szCs w:val="21"/>
        </w:rPr>
        <w:t xml:space="preserve">*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限于登记簿所列缔约方被允许的豁免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化学文摘社编号：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 xml:space="preserve">57-74-9 </w:t>
      </w:r>
      <w:r>
        <w:rPr>
          <w:rFonts w:ascii="Arial" w:hAnsi="Arial" w:cs="Arial"/>
          <w:sz w:val="21"/>
          <w:szCs w:val="21"/>
        </w:rPr>
        <w:t>使用</w:t>
      </w:r>
      <w:r>
        <w:rPr>
          <w:rFonts w:ascii="Arial" w:hAnsi="Arial" w:cs="Arial"/>
          <w:sz w:val="21"/>
          <w:szCs w:val="21"/>
        </w:rPr>
        <w:t xml:space="preserve"> </w:t>
      </w:r>
      <w:r>
        <w:rPr>
          <w:rFonts w:ascii="Arial" w:hAnsi="Arial" w:cs="Arial"/>
          <w:sz w:val="21"/>
          <w:szCs w:val="21"/>
        </w:rPr>
        <w:t>当地使用的杀体外寄生物药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杀虫剂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杀白蚁剂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建筑物和堤坝中使用的杀白蚁剂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公路中使用的杀白蚁剂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胶合板粘合剂中的添加剂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狄氏剂</w:t>
      </w:r>
      <w:r>
        <w:rPr>
          <w:rFonts w:ascii="Arial" w:hAnsi="Arial" w:cs="Arial"/>
          <w:sz w:val="21"/>
          <w:szCs w:val="21"/>
        </w:rPr>
        <w:t xml:space="preserve">*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无</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化学文摘社编号：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 xml:space="preserve">60-57-1 </w:t>
      </w:r>
      <w:r>
        <w:rPr>
          <w:rFonts w:ascii="Arial" w:hAnsi="Arial" w:cs="Arial"/>
          <w:sz w:val="21"/>
          <w:szCs w:val="21"/>
        </w:rPr>
        <w:t>使用</w:t>
      </w:r>
      <w:r>
        <w:rPr>
          <w:rFonts w:ascii="Arial" w:hAnsi="Arial" w:cs="Arial"/>
          <w:sz w:val="21"/>
          <w:szCs w:val="21"/>
        </w:rPr>
        <w:t xml:space="preserve"> </w:t>
      </w:r>
      <w:r>
        <w:rPr>
          <w:rFonts w:ascii="Arial" w:hAnsi="Arial" w:cs="Arial"/>
          <w:sz w:val="21"/>
          <w:szCs w:val="21"/>
        </w:rPr>
        <w:t>农业生产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异狄氏剂</w:t>
      </w:r>
      <w:r>
        <w:rPr>
          <w:rFonts w:ascii="Arial" w:hAnsi="Arial" w:cs="Arial"/>
          <w:sz w:val="21"/>
          <w:szCs w:val="21"/>
        </w:rPr>
        <w:t xml:space="preserve">*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无</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化学文摘社编号：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 xml:space="preserve">72-20-8 </w:t>
      </w:r>
      <w:r>
        <w:rPr>
          <w:rFonts w:ascii="Arial" w:hAnsi="Arial" w:cs="Arial"/>
          <w:sz w:val="21"/>
          <w:szCs w:val="21"/>
        </w:rPr>
        <w:t>使用</w:t>
      </w:r>
      <w:r>
        <w:rPr>
          <w:rFonts w:ascii="Arial" w:hAnsi="Arial" w:cs="Arial"/>
          <w:sz w:val="21"/>
          <w:szCs w:val="21"/>
        </w:rPr>
        <w:t xml:space="preserve"> </w:t>
      </w:r>
      <w:r>
        <w:rPr>
          <w:rFonts w:ascii="Arial" w:hAnsi="Arial" w:cs="Arial"/>
          <w:sz w:val="21"/>
          <w:szCs w:val="21"/>
        </w:rPr>
        <w:t>无</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七氯</w:t>
      </w:r>
      <w:r>
        <w:rPr>
          <w:rFonts w:ascii="Arial" w:hAnsi="Arial" w:cs="Arial"/>
          <w:sz w:val="21"/>
          <w:szCs w:val="21"/>
        </w:rPr>
        <w:t xml:space="preserve">*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无</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化学文摘社编号：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 xml:space="preserve">76-44-8 </w:t>
      </w:r>
      <w:r>
        <w:rPr>
          <w:rFonts w:ascii="Arial" w:hAnsi="Arial" w:cs="Arial"/>
          <w:sz w:val="21"/>
          <w:szCs w:val="21"/>
        </w:rPr>
        <w:t>使用</w:t>
      </w:r>
      <w:r>
        <w:rPr>
          <w:rFonts w:ascii="Arial" w:hAnsi="Arial" w:cs="Arial"/>
          <w:sz w:val="21"/>
          <w:szCs w:val="21"/>
        </w:rPr>
        <w:t xml:space="preserve"> </w:t>
      </w:r>
      <w:r>
        <w:rPr>
          <w:rFonts w:ascii="Arial" w:hAnsi="Arial" w:cs="Arial"/>
          <w:sz w:val="21"/>
          <w:szCs w:val="21"/>
        </w:rPr>
        <w:t>杀白蚁剂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房屋结构中使用的杀白蚁剂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杀白蚁剂（地下的）</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木材处理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用于地下电缆线防护盒</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六氯代苯</w:t>
      </w:r>
      <w:r>
        <w:rPr>
          <w:rFonts w:ascii="Arial" w:hAnsi="Arial" w:cs="Arial"/>
          <w:sz w:val="21"/>
          <w:szCs w:val="21"/>
        </w:rPr>
        <w:t xml:space="preserve">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限于登记簿所列缔约方被允许的豁免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化学文摘社编号：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 xml:space="preserve">118-74-1 </w:t>
      </w:r>
      <w:r>
        <w:rPr>
          <w:rFonts w:ascii="Arial" w:hAnsi="Arial" w:cs="Arial"/>
          <w:sz w:val="21"/>
          <w:szCs w:val="21"/>
        </w:rPr>
        <w:t>使用</w:t>
      </w:r>
      <w:r>
        <w:rPr>
          <w:rFonts w:ascii="Arial" w:hAnsi="Arial" w:cs="Arial"/>
          <w:sz w:val="21"/>
          <w:szCs w:val="21"/>
        </w:rPr>
        <w:t xml:space="preserve"> </w:t>
      </w:r>
      <w:r>
        <w:rPr>
          <w:rFonts w:ascii="Arial" w:hAnsi="Arial" w:cs="Arial"/>
          <w:sz w:val="21"/>
          <w:szCs w:val="21"/>
        </w:rPr>
        <w:t>中间体</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农药溶剂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有限场地封闭系统内的中间物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灭蚁灵</w:t>
      </w:r>
      <w:r>
        <w:rPr>
          <w:rFonts w:ascii="Arial" w:hAnsi="Arial" w:cs="Arial"/>
          <w:sz w:val="21"/>
          <w:szCs w:val="21"/>
        </w:rPr>
        <w:t xml:space="preserve">*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限于登记簿所列缔约方被允许的豁免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化学文摘社编号：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 xml:space="preserve">2385-85-5 </w:t>
      </w:r>
      <w:r>
        <w:rPr>
          <w:rFonts w:ascii="Arial" w:hAnsi="Arial" w:cs="Arial"/>
          <w:sz w:val="21"/>
          <w:szCs w:val="21"/>
        </w:rPr>
        <w:t>使用</w:t>
      </w:r>
      <w:r>
        <w:rPr>
          <w:rFonts w:ascii="Arial" w:hAnsi="Arial" w:cs="Arial"/>
          <w:sz w:val="21"/>
          <w:szCs w:val="21"/>
        </w:rPr>
        <w:t xml:space="preserve"> </w:t>
      </w:r>
      <w:r>
        <w:rPr>
          <w:rFonts w:ascii="Arial" w:hAnsi="Arial" w:cs="Arial"/>
          <w:sz w:val="21"/>
          <w:szCs w:val="21"/>
        </w:rPr>
        <w:t>杀白蚁剂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毒杀芬</w:t>
      </w:r>
      <w:r>
        <w:rPr>
          <w:rFonts w:ascii="Arial" w:hAnsi="Arial" w:cs="Arial"/>
          <w:sz w:val="21"/>
          <w:szCs w:val="21"/>
        </w:rPr>
        <w:t xml:space="preserve">*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无</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化学文摘社编号：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 xml:space="preserve">8001-35-2 </w:t>
      </w:r>
      <w:r>
        <w:rPr>
          <w:rFonts w:ascii="Arial" w:hAnsi="Arial" w:cs="Arial"/>
          <w:sz w:val="21"/>
          <w:szCs w:val="21"/>
        </w:rPr>
        <w:t>使用</w:t>
      </w:r>
      <w:r>
        <w:rPr>
          <w:rFonts w:ascii="Arial" w:hAnsi="Arial" w:cs="Arial"/>
          <w:sz w:val="21"/>
          <w:szCs w:val="21"/>
        </w:rPr>
        <w:t xml:space="preserve"> </w:t>
      </w:r>
      <w:r>
        <w:rPr>
          <w:rFonts w:ascii="Arial" w:hAnsi="Arial" w:cs="Arial"/>
          <w:sz w:val="21"/>
          <w:szCs w:val="21"/>
        </w:rPr>
        <w:t>无</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多氯联苯</w:t>
      </w:r>
      <w:r>
        <w:rPr>
          <w:rFonts w:ascii="Arial" w:hAnsi="Arial" w:cs="Arial"/>
          <w:sz w:val="21"/>
          <w:szCs w:val="21"/>
        </w:rPr>
        <w:t xml:space="preserve">*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无</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使用</w:t>
      </w:r>
      <w:r>
        <w:rPr>
          <w:rFonts w:ascii="Arial" w:hAnsi="Arial" w:cs="Arial"/>
          <w:sz w:val="21"/>
          <w:szCs w:val="21"/>
        </w:rPr>
        <w:t xml:space="preserve"> </w:t>
      </w:r>
      <w:r>
        <w:rPr>
          <w:rFonts w:ascii="Arial" w:hAnsi="Arial" w:cs="Arial"/>
          <w:sz w:val="21"/>
          <w:szCs w:val="21"/>
        </w:rPr>
        <w:t>根据本附件第二部分的规定正在使用的物品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）除非本公约中另有规定，在产品和物品中作为无意的痕量污染物出现的化学品不应视为本附件所列；</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）本条目的附注不得视作就第</w:t>
      </w:r>
      <w:r>
        <w:rPr>
          <w:rFonts w:ascii="Arial" w:hAnsi="Arial" w:cs="Arial"/>
          <w:sz w:val="21"/>
          <w:szCs w:val="21"/>
        </w:rPr>
        <w:t>3</w:t>
      </w:r>
      <w:r>
        <w:rPr>
          <w:rFonts w:ascii="Arial" w:hAnsi="Arial" w:cs="Arial"/>
          <w:sz w:val="21"/>
          <w:szCs w:val="21"/>
        </w:rPr>
        <w:t>条第</w:t>
      </w:r>
      <w:r>
        <w:rPr>
          <w:rFonts w:ascii="Arial" w:hAnsi="Arial" w:cs="Arial"/>
          <w:sz w:val="21"/>
          <w:szCs w:val="21"/>
        </w:rPr>
        <w:t>2</w:t>
      </w:r>
      <w:r>
        <w:rPr>
          <w:rFonts w:ascii="Arial" w:hAnsi="Arial" w:cs="Arial"/>
          <w:sz w:val="21"/>
          <w:szCs w:val="21"/>
        </w:rPr>
        <w:t>款的目的而言某一生产和用途的特定豁免。在某一化学品的相关义务生效之日或该日期之前已生产或已在用的物品中作为组分存在的该化学品数量不应视为本附件所列之生产国或使用国的特定豁免，条件是某一缔约方已通知秘书处，说明某一特定物品在该缔约方内仍在使用。秘书处应将此种通知向公众开放；</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）本条目的附注不适用于列于本附件第一部分化学品栏目中附有星号的化学品，且不得视作就第</w:t>
      </w:r>
      <w:r>
        <w:rPr>
          <w:rFonts w:ascii="Arial" w:hAnsi="Arial" w:cs="Arial"/>
          <w:sz w:val="21"/>
          <w:szCs w:val="21"/>
        </w:rPr>
        <w:t>3</w:t>
      </w:r>
      <w:r>
        <w:rPr>
          <w:rFonts w:ascii="Arial" w:hAnsi="Arial" w:cs="Arial"/>
          <w:sz w:val="21"/>
          <w:szCs w:val="21"/>
        </w:rPr>
        <w:t>条第</w:t>
      </w:r>
      <w:r>
        <w:rPr>
          <w:rFonts w:ascii="Arial" w:hAnsi="Arial" w:cs="Arial"/>
          <w:sz w:val="21"/>
          <w:szCs w:val="21"/>
        </w:rPr>
        <w:t>2</w:t>
      </w:r>
      <w:r>
        <w:rPr>
          <w:rFonts w:ascii="Arial" w:hAnsi="Arial" w:cs="Arial"/>
          <w:sz w:val="21"/>
          <w:szCs w:val="21"/>
        </w:rPr>
        <w:t>款的目的而言某一生产和用途的特定豁免。鉴于在生产和使用一种有限场地封闭系统内的中间体的过程中，某种化学品预期不会与人或环境发生大量接触，一缔约方在通知秘书处后，可以允许生产和使用一定数量本附件所列某一化学品，作为一种有限场地封闭系统内的中间体，其在制造其他化学品过程中发生化学变化，而考虑到附件</w:t>
      </w:r>
      <w:r>
        <w:rPr>
          <w:rFonts w:ascii="Arial" w:hAnsi="Arial" w:cs="Arial"/>
          <w:sz w:val="21"/>
          <w:szCs w:val="21"/>
        </w:rPr>
        <w:t>D</w:t>
      </w:r>
      <w:r>
        <w:rPr>
          <w:rFonts w:ascii="Arial" w:hAnsi="Arial" w:cs="Arial"/>
          <w:sz w:val="21"/>
          <w:szCs w:val="21"/>
        </w:rPr>
        <w:t>第</w:t>
      </w:r>
      <w:r>
        <w:rPr>
          <w:rFonts w:ascii="Arial" w:hAnsi="Arial" w:cs="Arial"/>
          <w:sz w:val="21"/>
          <w:szCs w:val="21"/>
        </w:rPr>
        <w:t>1</w:t>
      </w:r>
      <w:r>
        <w:rPr>
          <w:rFonts w:ascii="Arial" w:hAnsi="Arial" w:cs="Arial"/>
          <w:sz w:val="21"/>
          <w:szCs w:val="21"/>
        </w:rPr>
        <w:t>款所列标准，那些化学品并未显示出持久性有机污染物的特性。此种通知应列有有关此种化学品生产和使用总量的信息或此种信息的合理估计数，以及关于有限场地封闭系统生产工艺的性质的信息，包括在最终产品中持久性有机污染物初始原料所有未发生变化的和无意的痕量污染物的数量。除本附件另有具体规定外，这一程序均适用。秘书处应将此种通知提交缔约方大会并向公众开放。此种生产或使用不应视为生产或使用的特定豁免。此种生产和使用应在一个十年期限之后停止，除非有关缔约方再次向秘书处提交一份新的通知，在此情况下该期限将再续延十年，但缔约方大会在审查了有关生产和使用后作出另外决定者除外。此通知程序可以重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）已根据第</w:t>
      </w:r>
      <w:r>
        <w:rPr>
          <w:rFonts w:ascii="Arial" w:hAnsi="Arial" w:cs="Arial"/>
          <w:sz w:val="21"/>
          <w:szCs w:val="21"/>
        </w:rPr>
        <w:t>4</w:t>
      </w:r>
      <w:r>
        <w:rPr>
          <w:rFonts w:ascii="Arial" w:hAnsi="Arial" w:cs="Arial"/>
          <w:sz w:val="21"/>
          <w:szCs w:val="21"/>
        </w:rPr>
        <w:t>条就有关豁免进行了登记的缔约方均可实行本附件中所列的所有特定豁免，但根据本附件第二部分的规定而由在用物品使用的多氯联苯例外，所有缔约方均可实行与该化学品有关的特定豁免。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第二部分</w:t>
      </w:r>
      <w:r>
        <w:rPr>
          <w:rFonts w:ascii="Arial" w:hAnsi="Arial" w:cs="Arial"/>
          <w:sz w:val="21"/>
          <w:szCs w:val="21"/>
        </w:rPr>
        <w:t xml:space="preserve"> </w:t>
      </w:r>
      <w:r>
        <w:rPr>
          <w:rFonts w:ascii="Arial" w:hAnsi="Arial" w:cs="Arial"/>
          <w:sz w:val="21"/>
          <w:szCs w:val="21"/>
        </w:rPr>
        <w:t>多氯联苯</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每一缔约方应：</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）关于在</w:t>
      </w:r>
      <w:r>
        <w:rPr>
          <w:rFonts w:ascii="Arial" w:hAnsi="Arial" w:cs="Arial"/>
          <w:sz w:val="21"/>
          <w:szCs w:val="21"/>
        </w:rPr>
        <w:t>2025</w:t>
      </w:r>
      <w:r>
        <w:rPr>
          <w:rFonts w:ascii="Arial" w:hAnsi="Arial" w:cs="Arial"/>
          <w:sz w:val="21"/>
          <w:szCs w:val="21"/>
        </w:rPr>
        <w:t>年之前消除在设备（例如变压器、电容器或含有液体存积量的其他容贮器）中所使用的多氯联苯，经缔约方大会审查后，各缔约方应按下列优先事项采取行动：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）作出坚决努力，以查明、标明和消除多氯联苯含量大于</w:t>
      </w:r>
      <w:r>
        <w:rPr>
          <w:rFonts w:ascii="Arial" w:hAnsi="Arial" w:cs="Arial"/>
          <w:sz w:val="21"/>
          <w:szCs w:val="21"/>
        </w:rPr>
        <w:t>10%</w:t>
      </w:r>
      <w:r>
        <w:rPr>
          <w:rFonts w:ascii="Arial" w:hAnsi="Arial" w:cs="Arial"/>
          <w:sz w:val="21"/>
          <w:szCs w:val="21"/>
        </w:rPr>
        <w:t>而容量大于</w:t>
      </w:r>
      <w:r>
        <w:rPr>
          <w:rFonts w:ascii="Arial" w:hAnsi="Arial" w:cs="Arial"/>
          <w:sz w:val="21"/>
          <w:szCs w:val="21"/>
        </w:rPr>
        <w:t>5</w:t>
      </w:r>
      <w:r>
        <w:rPr>
          <w:rFonts w:ascii="Arial" w:hAnsi="Arial" w:cs="Arial"/>
          <w:sz w:val="21"/>
          <w:szCs w:val="21"/>
        </w:rPr>
        <w:t>升的在用设备；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）作出坚决努力，以查明、标明和消除含有超过</w:t>
      </w:r>
      <w:r>
        <w:rPr>
          <w:rFonts w:ascii="Arial" w:hAnsi="Arial" w:cs="Arial"/>
          <w:sz w:val="21"/>
          <w:szCs w:val="21"/>
        </w:rPr>
        <w:t>0.05%</w:t>
      </w:r>
      <w:r>
        <w:rPr>
          <w:rFonts w:ascii="Arial" w:hAnsi="Arial" w:cs="Arial"/>
          <w:sz w:val="21"/>
          <w:szCs w:val="21"/>
        </w:rPr>
        <w:t>的多氯联苯而容量大于</w:t>
      </w:r>
      <w:r>
        <w:rPr>
          <w:rFonts w:ascii="Arial" w:hAnsi="Arial" w:cs="Arial"/>
          <w:sz w:val="21"/>
          <w:szCs w:val="21"/>
        </w:rPr>
        <w:t>5</w:t>
      </w:r>
      <w:r>
        <w:rPr>
          <w:rFonts w:ascii="Arial" w:hAnsi="Arial" w:cs="Arial"/>
          <w:sz w:val="21"/>
          <w:szCs w:val="21"/>
        </w:rPr>
        <w:t>升的在用设备；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）尽力查明和消除含有超过</w:t>
      </w:r>
      <w:r>
        <w:rPr>
          <w:rFonts w:ascii="Arial" w:hAnsi="Arial" w:cs="Arial"/>
          <w:sz w:val="21"/>
          <w:szCs w:val="21"/>
        </w:rPr>
        <w:t>0.005%</w:t>
      </w:r>
      <w:r>
        <w:rPr>
          <w:rFonts w:ascii="Arial" w:hAnsi="Arial" w:cs="Arial"/>
          <w:sz w:val="21"/>
          <w:szCs w:val="21"/>
        </w:rPr>
        <w:t>的多氯联苯而容量大于</w:t>
      </w:r>
      <w:r>
        <w:rPr>
          <w:rFonts w:ascii="Arial" w:hAnsi="Arial" w:cs="Arial"/>
          <w:sz w:val="21"/>
          <w:szCs w:val="21"/>
        </w:rPr>
        <w:t>0.05</w:t>
      </w:r>
      <w:r>
        <w:rPr>
          <w:rFonts w:ascii="Arial" w:hAnsi="Arial" w:cs="Arial"/>
          <w:sz w:val="21"/>
          <w:szCs w:val="21"/>
        </w:rPr>
        <w:t>升的在用设备；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）按照上述（</w:t>
      </w:r>
      <w:r>
        <w:rPr>
          <w:rFonts w:ascii="Arial" w:hAnsi="Arial" w:cs="Arial"/>
          <w:sz w:val="21"/>
          <w:szCs w:val="21"/>
        </w:rPr>
        <w:t>a</w:t>
      </w:r>
      <w:r>
        <w:rPr>
          <w:rFonts w:ascii="Arial" w:hAnsi="Arial" w:cs="Arial"/>
          <w:sz w:val="21"/>
          <w:szCs w:val="21"/>
        </w:rPr>
        <w:t>）项的优先事项，促进旨在减少接触和减少风险的下列措施，以控制这些多氯联苯的使用：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）仅在不触动的且不渗漏的设备中使用，而且仅在可将环境排放的风险降至最低并可迅速加以补救的地区使用；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）不准在涉及食品或饲料生产或加工领域的设备中使用；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）在包括学校和医院在内的居民区使用时，采取一切合理措施，防止出现可能引发火灾的电路故障，并经常检查此种设备有无渗漏；</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）尽管有第</w:t>
      </w:r>
      <w:r>
        <w:rPr>
          <w:rFonts w:ascii="Arial" w:hAnsi="Arial" w:cs="Arial"/>
          <w:sz w:val="21"/>
          <w:szCs w:val="21"/>
        </w:rPr>
        <w:t>3</w:t>
      </w:r>
      <w:r>
        <w:rPr>
          <w:rFonts w:ascii="Arial" w:hAnsi="Arial" w:cs="Arial"/>
          <w:sz w:val="21"/>
          <w:szCs w:val="21"/>
        </w:rPr>
        <w:t>条第</w:t>
      </w:r>
      <w:r>
        <w:rPr>
          <w:rFonts w:ascii="Arial" w:hAnsi="Arial" w:cs="Arial"/>
          <w:sz w:val="21"/>
          <w:szCs w:val="21"/>
        </w:rPr>
        <w:t>2</w:t>
      </w:r>
      <w:r>
        <w:rPr>
          <w:rFonts w:ascii="Arial" w:hAnsi="Arial" w:cs="Arial"/>
          <w:sz w:val="21"/>
          <w:szCs w:val="21"/>
        </w:rPr>
        <w:t>款的规定，仍应确保不出口或进口上述（</w:t>
      </w:r>
      <w:r>
        <w:rPr>
          <w:rFonts w:ascii="Arial" w:hAnsi="Arial" w:cs="Arial"/>
          <w:sz w:val="21"/>
          <w:szCs w:val="21"/>
        </w:rPr>
        <w:t>a</w:t>
      </w:r>
      <w:r>
        <w:rPr>
          <w:rFonts w:ascii="Arial" w:hAnsi="Arial" w:cs="Arial"/>
          <w:sz w:val="21"/>
          <w:szCs w:val="21"/>
        </w:rPr>
        <w:t>）项所述含有多氯联苯的设备，除非其目的在于实行环境无害化的废物管理；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）除非为维修和服务操作之目的，不允许回收多氯联苯含量高于</w:t>
      </w:r>
      <w:r>
        <w:rPr>
          <w:rFonts w:ascii="Arial" w:hAnsi="Arial" w:cs="Arial"/>
          <w:sz w:val="21"/>
          <w:szCs w:val="21"/>
        </w:rPr>
        <w:t>0.005%</w:t>
      </w:r>
      <w:r>
        <w:rPr>
          <w:rFonts w:ascii="Arial" w:hAnsi="Arial" w:cs="Arial"/>
          <w:sz w:val="21"/>
          <w:szCs w:val="21"/>
        </w:rPr>
        <w:t>的液体再度用于其他设备；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）作出坚决努力，以便尽快、但不迟于</w:t>
      </w:r>
      <w:r>
        <w:rPr>
          <w:rFonts w:ascii="Arial" w:hAnsi="Arial" w:cs="Arial"/>
          <w:sz w:val="21"/>
          <w:szCs w:val="21"/>
        </w:rPr>
        <w:t>2028</w:t>
      </w:r>
      <w:r>
        <w:rPr>
          <w:rFonts w:ascii="Arial" w:hAnsi="Arial" w:cs="Arial"/>
          <w:sz w:val="21"/>
          <w:szCs w:val="21"/>
        </w:rPr>
        <w:t>年，按照第</w:t>
      </w:r>
      <w:r>
        <w:rPr>
          <w:rFonts w:ascii="Arial" w:hAnsi="Arial" w:cs="Arial"/>
          <w:sz w:val="21"/>
          <w:szCs w:val="21"/>
        </w:rPr>
        <w:t>6</w:t>
      </w:r>
      <w:r>
        <w:rPr>
          <w:rFonts w:ascii="Arial" w:hAnsi="Arial" w:cs="Arial"/>
          <w:sz w:val="21"/>
          <w:szCs w:val="21"/>
        </w:rPr>
        <w:t>条第</w:t>
      </w:r>
      <w:r>
        <w:rPr>
          <w:rFonts w:ascii="Arial" w:hAnsi="Arial" w:cs="Arial"/>
          <w:sz w:val="21"/>
          <w:szCs w:val="21"/>
        </w:rPr>
        <w:t>1</w:t>
      </w:r>
      <w:r>
        <w:rPr>
          <w:rFonts w:ascii="Arial" w:hAnsi="Arial" w:cs="Arial"/>
          <w:sz w:val="21"/>
          <w:szCs w:val="21"/>
        </w:rPr>
        <w:t>款对含有多氯联苯的液体和被多氯联苯污染且其多氯联苯含量高于</w:t>
      </w:r>
      <w:r>
        <w:rPr>
          <w:rFonts w:ascii="Arial" w:hAnsi="Arial" w:cs="Arial"/>
          <w:sz w:val="21"/>
          <w:szCs w:val="21"/>
        </w:rPr>
        <w:t>0.005%</w:t>
      </w:r>
      <w:r>
        <w:rPr>
          <w:rFonts w:ascii="Arial" w:hAnsi="Arial" w:cs="Arial"/>
          <w:sz w:val="21"/>
          <w:szCs w:val="21"/>
        </w:rPr>
        <w:t>的设备进行环境无害化的废物管理。这方面的努力将由缔约方大会予以审查；</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f</w:t>
      </w:r>
      <w:r>
        <w:rPr>
          <w:rFonts w:ascii="Arial" w:hAnsi="Arial" w:cs="Arial"/>
          <w:sz w:val="21"/>
          <w:szCs w:val="21"/>
        </w:rPr>
        <w:t>）作为本附件第一部分附注（</w:t>
      </w:r>
      <w:r>
        <w:rPr>
          <w:rFonts w:ascii="Arial" w:hAnsi="Arial" w:cs="Arial"/>
          <w:sz w:val="21"/>
          <w:szCs w:val="21"/>
        </w:rPr>
        <w:t>ii</w:t>
      </w:r>
      <w:r>
        <w:rPr>
          <w:rFonts w:ascii="Arial" w:hAnsi="Arial" w:cs="Arial"/>
          <w:sz w:val="21"/>
          <w:szCs w:val="21"/>
        </w:rPr>
        <w:t>）的替代，力求查明含有多于</w:t>
      </w:r>
      <w:r>
        <w:rPr>
          <w:rFonts w:ascii="Arial" w:hAnsi="Arial" w:cs="Arial"/>
          <w:sz w:val="21"/>
          <w:szCs w:val="21"/>
        </w:rPr>
        <w:t>0.005%</w:t>
      </w:r>
      <w:r>
        <w:rPr>
          <w:rFonts w:ascii="Arial" w:hAnsi="Arial" w:cs="Arial"/>
          <w:sz w:val="21"/>
          <w:szCs w:val="21"/>
        </w:rPr>
        <w:t>多氯联苯的其他物品（例如电缆漆皮、凝固的嵌缝膏和涂漆物件）并按照第</w:t>
      </w:r>
      <w:r>
        <w:rPr>
          <w:rFonts w:ascii="Arial" w:hAnsi="Arial" w:cs="Arial"/>
          <w:sz w:val="21"/>
          <w:szCs w:val="21"/>
        </w:rPr>
        <w:t>6</w:t>
      </w:r>
      <w:r>
        <w:rPr>
          <w:rFonts w:ascii="Arial" w:hAnsi="Arial" w:cs="Arial"/>
          <w:sz w:val="21"/>
          <w:szCs w:val="21"/>
        </w:rPr>
        <w:t>条第</w:t>
      </w:r>
      <w:r>
        <w:rPr>
          <w:rFonts w:ascii="Arial" w:hAnsi="Arial" w:cs="Arial"/>
          <w:sz w:val="21"/>
          <w:szCs w:val="21"/>
        </w:rPr>
        <w:t>1</w:t>
      </w:r>
      <w:r>
        <w:rPr>
          <w:rFonts w:ascii="Arial" w:hAnsi="Arial" w:cs="Arial"/>
          <w:sz w:val="21"/>
          <w:szCs w:val="21"/>
        </w:rPr>
        <w:t>款加以处理；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g</w:t>
      </w:r>
      <w:r>
        <w:rPr>
          <w:rFonts w:ascii="Arial" w:hAnsi="Arial" w:cs="Arial"/>
          <w:sz w:val="21"/>
          <w:szCs w:val="21"/>
        </w:rPr>
        <w:t>）每五年提出一份消除多氯联苯方面的进展情况报告，并依照第</w:t>
      </w:r>
      <w:r>
        <w:rPr>
          <w:rFonts w:ascii="Arial" w:hAnsi="Arial" w:cs="Arial"/>
          <w:sz w:val="21"/>
          <w:szCs w:val="21"/>
        </w:rPr>
        <w:t>15</w:t>
      </w:r>
      <w:r>
        <w:rPr>
          <w:rFonts w:ascii="Arial" w:hAnsi="Arial" w:cs="Arial"/>
          <w:sz w:val="21"/>
          <w:szCs w:val="21"/>
        </w:rPr>
        <w:t>条向缔约方大会提交此报告；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h</w:t>
      </w:r>
      <w:r>
        <w:rPr>
          <w:rFonts w:ascii="Arial" w:hAnsi="Arial" w:cs="Arial"/>
          <w:sz w:val="21"/>
          <w:szCs w:val="21"/>
        </w:rPr>
        <w:t>）上述（</w:t>
      </w:r>
      <w:r>
        <w:rPr>
          <w:rFonts w:ascii="Arial" w:hAnsi="Arial" w:cs="Arial"/>
          <w:sz w:val="21"/>
          <w:szCs w:val="21"/>
        </w:rPr>
        <w:t>g</w:t>
      </w:r>
      <w:r>
        <w:rPr>
          <w:rFonts w:ascii="Arial" w:hAnsi="Arial" w:cs="Arial"/>
          <w:sz w:val="21"/>
          <w:szCs w:val="21"/>
        </w:rPr>
        <w:t>）项所述的报告应在适当情况下由缔约方大会在其关于多氯联苯的审查中加以审议。缔约方大会应每五年或酌情按其他时间间隔考虑此种报告的具体内容，审查关于消除多氯联苯方面的进展情况。</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附件</w:t>
      </w:r>
      <w:r>
        <w:rPr>
          <w:rFonts w:ascii="Arial" w:hAnsi="Arial" w:cs="Arial"/>
          <w:sz w:val="21"/>
          <w:szCs w:val="21"/>
        </w:rPr>
        <w:t>B</w:t>
      </w:r>
      <w:r>
        <w:rPr>
          <w:rFonts w:ascii="Arial" w:hAnsi="Arial" w:cs="Arial"/>
          <w:sz w:val="21"/>
          <w:szCs w:val="21"/>
        </w:rPr>
        <w:t>：</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限</w:t>
      </w:r>
      <w:r>
        <w:rPr>
          <w:rFonts w:ascii="Arial" w:hAnsi="Arial" w:cs="Arial"/>
          <w:sz w:val="21"/>
          <w:szCs w:val="21"/>
        </w:rPr>
        <w:t xml:space="preserve"> </w:t>
      </w:r>
      <w:r>
        <w:rPr>
          <w:rFonts w:ascii="Arial" w:hAnsi="Arial" w:cs="Arial"/>
          <w:sz w:val="21"/>
          <w:szCs w:val="21"/>
        </w:rPr>
        <w:t>制</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第一部分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w:t>
      </w:r>
      <w:r>
        <w:rPr>
          <w:rFonts w:ascii="Arial" w:hAnsi="Arial" w:cs="Arial"/>
          <w:sz w:val="21"/>
          <w:szCs w:val="21"/>
        </w:rPr>
        <w:t xml:space="preserve"> </w:t>
      </w:r>
      <w:r>
        <w:rPr>
          <w:rFonts w:ascii="Arial" w:hAnsi="Arial" w:cs="Arial"/>
          <w:sz w:val="21"/>
          <w:szCs w:val="21"/>
        </w:rPr>
        <w:t>学</w:t>
      </w:r>
      <w:r>
        <w:rPr>
          <w:rFonts w:ascii="Arial" w:hAnsi="Arial" w:cs="Arial"/>
          <w:sz w:val="21"/>
          <w:szCs w:val="21"/>
        </w:rPr>
        <w:t xml:space="preserve"> </w:t>
      </w:r>
      <w:r>
        <w:rPr>
          <w:rFonts w:ascii="Arial" w:hAnsi="Arial" w:cs="Arial"/>
          <w:sz w:val="21"/>
          <w:szCs w:val="21"/>
        </w:rPr>
        <w:t>品</w:t>
      </w:r>
      <w:r>
        <w:rPr>
          <w:rFonts w:ascii="Arial" w:hAnsi="Arial" w:cs="Arial"/>
          <w:sz w:val="21"/>
          <w:szCs w:val="21"/>
        </w:rPr>
        <w:t xml:space="preserve"> </w:t>
      </w:r>
      <w:r>
        <w:rPr>
          <w:rFonts w:ascii="Arial" w:hAnsi="Arial" w:cs="Arial"/>
          <w:sz w:val="21"/>
          <w:szCs w:val="21"/>
        </w:rPr>
        <w:t>活</w:t>
      </w:r>
      <w:r>
        <w:rPr>
          <w:rFonts w:ascii="Arial" w:hAnsi="Arial" w:cs="Arial"/>
          <w:sz w:val="21"/>
          <w:szCs w:val="21"/>
        </w:rPr>
        <w:t xml:space="preserve"> </w:t>
      </w:r>
      <w:r>
        <w:rPr>
          <w:rFonts w:ascii="Arial" w:hAnsi="Arial" w:cs="Arial"/>
          <w:sz w:val="21"/>
          <w:szCs w:val="21"/>
        </w:rPr>
        <w:t>动</w:t>
      </w:r>
      <w:r>
        <w:rPr>
          <w:rFonts w:ascii="Arial" w:hAnsi="Arial" w:cs="Arial"/>
          <w:sz w:val="21"/>
          <w:szCs w:val="21"/>
        </w:rPr>
        <w:t xml:space="preserve"> </w:t>
      </w:r>
      <w:r>
        <w:rPr>
          <w:rFonts w:ascii="Arial" w:hAnsi="Arial" w:cs="Arial"/>
          <w:sz w:val="21"/>
          <w:szCs w:val="21"/>
        </w:rPr>
        <w:t>可接受用途或特定豁免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滴滴涕（</w:t>
      </w:r>
      <w:r>
        <w:rPr>
          <w:rFonts w:ascii="Arial" w:hAnsi="Arial" w:cs="Arial"/>
          <w:sz w:val="21"/>
          <w:szCs w:val="21"/>
        </w:rPr>
        <w:t>1</w:t>
      </w:r>
      <w:r>
        <w:rPr>
          <w:rFonts w:ascii="Arial" w:hAnsi="Arial" w:cs="Arial"/>
          <w:sz w:val="21"/>
          <w:szCs w:val="21"/>
        </w:rPr>
        <w:t>，</w:t>
      </w:r>
      <w:r>
        <w:rPr>
          <w:rFonts w:ascii="Arial" w:hAnsi="Arial" w:cs="Arial"/>
          <w:sz w:val="21"/>
          <w:szCs w:val="21"/>
        </w:rPr>
        <w:t>1</w:t>
      </w:r>
      <w:r>
        <w:rPr>
          <w:rFonts w:ascii="Arial" w:hAnsi="Arial" w:cs="Arial"/>
          <w:sz w:val="21"/>
          <w:szCs w:val="21"/>
        </w:rPr>
        <w:t>，</w:t>
      </w:r>
      <w:r>
        <w:rPr>
          <w:rFonts w:ascii="Arial" w:hAnsi="Arial" w:cs="Arial"/>
          <w:sz w:val="21"/>
          <w:szCs w:val="21"/>
        </w:rPr>
        <w:t>1-</w:t>
      </w:r>
      <w:r>
        <w:rPr>
          <w:rFonts w:ascii="Arial" w:hAnsi="Arial" w:cs="Arial"/>
          <w:sz w:val="21"/>
          <w:szCs w:val="21"/>
        </w:rPr>
        <w:t>三氯</w:t>
      </w:r>
      <w:r>
        <w:rPr>
          <w:rFonts w:ascii="Arial" w:hAnsi="Arial" w:cs="Arial"/>
          <w:sz w:val="21"/>
          <w:szCs w:val="21"/>
        </w:rPr>
        <w:t>-2</w:t>
      </w:r>
      <w:r>
        <w:rPr>
          <w:rFonts w:ascii="Arial" w:hAnsi="Arial" w:cs="Arial"/>
          <w:sz w:val="21"/>
          <w:szCs w:val="21"/>
        </w:rPr>
        <w:t>，</w:t>
      </w:r>
      <w:r>
        <w:rPr>
          <w:rFonts w:ascii="Arial" w:hAnsi="Arial" w:cs="Arial"/>
          <w:sz w:val="21"/>
          <w:szCs w:val="21"/>
        </w:rPr>
        <w:t xml:space="preserve">2- </w:t>
      </w:r>
      <w:r>
        <w:rPr>
          <w:rFonts w:ascii="Arial" w:hAnsi="Arial" w:cs="Arial"/>
          <w:sz w:val="21"/>
          <w:szCs w:val="21"/>
        </w:rPr>
        <w:t>生产</w:t>
      </w:r>
      <w:r>
        <w:rPr>
          <w:rFonts w:ascii="Arial" w:hAnsi="Arial" w:cs="Arial"/>
          <w:sz w:val="21"/>
          <w:szCs w:val="21"/>
        </w:rPr>
        <w:t xml:space="preserve"> </w:t>
      </w:r>
      <w:r>
        <w:rPr>
          <w:rFonts w:ascii="Arial" w:hAnsi="Arial" w:cs="Arial"/>
          <w:sz w:val="21"/>
          <w:szCs w:val="21"/>
        </w:rPr>
        <w:t>可接受用途：</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二（对</w:t>
      </w:r>
      <w:r>
        <w:rPr>
          <w:rFonts w:ascii="Arial" w:hAnsi="Arial" w:cs="Arial"/>
          <w:sz w:val="21"/>
          <w:szCs w:val="21"/>
        </w:rPr>
        <w:t>-</w:t>
      </w:r>
      <w:r>
        <w:rPr>
          <w:rFonts w:ascii="Arial" w:hAnsi="Arial" w:cs="Arial"/>
          <w:sz w:val="21"/>
          <w:szCs w:val="21"/>
        </w:rPr>
        <w:t>氯苯基）乙烷）</w:t>
      </w:r>
      <w:r>
        <w:rPr>
          <w:rFonts w:ascii="Arial" w:hAnsi="Arial" w:cs="Arial"/>
          <w:sz w:val="21"/>
          <w:szCs w:val="21"/>
        </w:rPr>
        <w:t xml:space="preserve"> </w:t>
      </w:r>
      <w:r>
        <w:rPr>
          <w:rFonts w:ascii="Arial" w:hAnsi="Arial" w:cs="Arial"/>
          <w:sz w:val="21"/>
          <w:szCs w:val="21"/>
        </w:rPr>
        <w:t>根据本附件第二部分用于病媒控制</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化学文摘社编号：</w:t>
      </w:r>
      <w:r>
        <w:rPr>
          <w:rFonts w:ascii="Arial" w:hAnsi="Arial" w:cs="Arial"/>
          <w:sz w:val="21"/>
          <w:szCs w:val="21"/>
        </w:rPr>
        <w:t xml:space="preserve">50-29-3 </w:t>
      </w:r>
      <w:r>
        <w:rPr>
          <w:rFonts w:ascii="Arial" w:hAnsi="Arial" w:cs="Arial"/>
          <w:sz w:val="21"/>
          <w:szCs w:val="21"/>
        </w:rPr>
        <w:t>特定豁免：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三氯杀螨醇生产中的中间体</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中间体</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使用</w:t>
      </w:r>
      <w:r>
        <w:rPr>
          <w:rFonts w:ascii="Arial" w:hAnsi="Arial" w:cs="Arial"/>
          <w:sz w:val="21"/>
          <w:szCs w:val="21"/>
        </w:rPr>
        <w:t xml:space="preserve"> </w:t>
      </w:r>
      <w:r>
        <w:rPr>
          <w:rFonts w:ascii="Arial" w:hAnsi="Arial" w:cs="Arial"/>
          <w:sz w:val="21"/>
          <w:szCs w:val="21"/>
        </w:rPr>
        <w:t>可接受用途：</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根据本附件第二部分用于病媒控制</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特定豁免：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三氯杀螨醇生产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中间体</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）除本公约另有规定外，在产品和物品中作为无意痕量污染物出现的某一化学品的数量不应视为本附件所列；</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）本条目的附注不应视为就第</w:t>
      </w:r>
      <w:r>
        <w:rPr>
          <w:rFonts w:ascii="Arial" w:hAnsi="Arial" w:cs="Arial"/>
          <w:sz w:val="21"/>
          <w:szCs w:val="21"/>
        </w:rPr>
        <w:t>3</w:t>
      </w:r>
      <w:r>
        <w:rPr>
          <w:rFonts w:ascii="Arial" w:hAnsi="Arial" w:cs="Arial"/>
          <w:sz w:val="21"/>
          <w:szCs w:val="21"/>
        </w:rPr>
        <w:t>条第</w:t>
      </w:r>
      <w:r>
        <w:rPr>
          <w:rFonts w:ascii="Arial" w:hAnsi="Arial" w:cs="Arial"/>
          <w:sz w:val="21"/>
          <w:szCs w:val="21"/>
        </w:rPr>
        <w:t>2</w:t>
      </w:r>
      <w:r>
        <w:rPr>
          <w:rFonts w:ascii="Arial" w:hAnsi="Arial" w:cs="Arial"/>
          <w:sz w:val="21"/>
          <w:szCs w:val="21"/>
        </w:rPr>
        <w:t>款而言的生产和使用的可接受用途或特定豁免。在某一化学品的相关义务生效之日或该日期之前生产或已在用的物品中作为其组分出现的该化学品不应视为本附件所列，条件是某一缔约方已通知秘书处，告知某一特定类别的物品在该缔约方内仍在使用。秘书处应将此种通知向公众开放；</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）本条目的附注不应视为就第</w:t>
      </w:r>
      <w:r>
        <w:rPr>
          <w:rFonts w:ascii="Arial" w:hAnsi="Arial" w:cs="Arial"/>
          <w:sz w:val="21"/>
          <w:szCs w:val="21"/>
        </w:rPr>
        <w:t>3</w:t>
      </w:r>
      <w:r>
        <w:rPr>
          <w:rFonts w:ascii="Arial" w:hAnsi="Arial" w:cs="Arial"/>
          <w:sz w:val="21"/>
          <w:szCs w:val="21"/>
        </w:rPr>
        <w:t>条第</w:t>
      </w:r>
      <w:r>
        <w:rPr>
          <w:rFonts w:ascii="Arial" w:hAnsi="Arial" w:cs="Arial"/>
          <w:sz w:val="21"/>
          <w:szCs w:val="21"/>
        </w:rPr>
        <w:t>2</w:t>
      </w:r>
      <w:r>
        <w:rPr>
          <w:rFonts w:ascii="Arial" w:hAnsi="Arial" w:cs="Arial"/>
          <w:sz w:val="21"/>
          <w:szCs w:val="21"/>
        </w:rPr>
        <w:t>款的目的而言某一生产和用途的特定豁免。鉴于在生产和使用某一有限场地封闭系统内的中间物过程中，预计不会发生该化学品大量接触人体和环境，因此，某一个缔约方在通知秘书处之后，可允许生产和使用一定数量本附件所列的某一化学品，作为一种有限场地封闭系统内的中间物，该化学品在制造其他化学品过程中发生化学变化，而考虑到附件</w:t>
      </w:r>
      <w:r>
        <w:rPr>
          <w:rFonts w:ascii="Arial" w:hAnsi="Arial" w:cs="Arial"/>
          <w:sz w:val="21"/>
          <w:szCs w:val="21"/>
        </w:rPr>
        <w:t>D</w:t>
      </w:r>
      <w:r>
        <w:rPr>
          <w:rFonts w:ascii="Arial" w:hAnsi="Arial" w:cs="Arial"/>
          <w:sz w:val="21"/>
          <w:szCs w:val="21"/>
        </w:rPr>
        <w:t>第</w:t>
      </w:r>
      <w:r>
        <w:rPr>
          <w:rFonts w:ascii="Arial" w:hAnsi="Arial" w:cs="Arial"/>
          <w:sz w:val="21"/>
          <w:szCs w:val="21"/>
        </w:rPr>
        <w:t>1</w:t>
      </w:r>
      <w:r>
        <w:rPr>
          <w:rFonts w:ascii="Arial" w:hAnsi="Arial" w:cs="Arial"/>
          <w:sz w:val="21"/>
          <w:szCs w:val="21"/>
        </w:rPr>
        <w:t>款所列标准，并未显示出持久性有机污染物的特性。此种通知应列有关于此种化学品的总生产量和使用量的信息或此种数量信息的合理估计，</w:t>
      </w:r>
      <w:r>
        <w:rPr>
          <w:rFonts w:ascii="Arial" w:hAnsi="Arial" w:cs="Arial"/>
          <w:sz w:val="21"/>
          <w:szCs w:val="21"/>
        </w:rPr>
        <w:lastRenderedPageBreak/>
        <w:t>以及有关有限场地封闭系统生产工艺的性质的信息，包括在最终产品中持久性有机污染物初始原料所有未发生变化的和无意的痕量污染物的数量。除本附件另有具体规定外，这一程序均适用。秘书处应将此种通知提供缔约方大会并向公众开放。此种生产或使用不应视为一项生产和使用的特定豁免。此种生产和使用应在一个十年期限之后停止，除非有关缔约方再次向秘书处提交一份新通知，在此情况下该期限将再续延十年，但缔约方大会在审查了有关生产和使用情况后作出另外决定者除处。此通知程序可以重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）凡根据第</w:t>
      </w:r>
      <w:r>
        <w:rPr>
          <w:rFonts w:ascii="Arial" w:hAnsi="Arial" w:cs="Arial"/>
          <w:sz w:val="21"/>
          <w:szCs w:val="21"/>
        </w:rPr>
        <w:t>4</w:t>
      </w:r>
      <w:r>
        <w:rPr>
          <w:rFonts w:ascii="Arial" w:hAnsi="Arial" w:cs="Arial"/>
          <w:sz w:val="21"/>
          <w:szCs w:val="21"/>
        </w:rPr>
        <w:t>条规定作出了特定豁免登记的缔约方，均可实行本附件中所列所有特定豁免。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第二部分</w:t>
      </w:r>
      <w:r>
        <w:rPr>
          <w:rFonts w:ascii="Arial" w:hAnsi="Arial" w:cs="Arial"/>
          <w:sz w:val="21"/>
          <w:szCs w:val="21"/>
        </w:rPr>
        <w:t xml:space="preserve"> </w:t>
      </w:r>
      <w:r>
        <w:rPr>
          <w:rFonts w:ascii="Arial" w:hAnsi="Arial" w:cs="Arial"/>
          <w:sz w:val="21"/>
          <w:szCs w:val="21"/>
        </w:rPr>
        <w:t>滴滴涕（</w:t>
      </w:r>
      <w:r>
        <w:rPr>
          <w:rFonts w:ascii="Arial" w:hAnsi="Arial" w:cs="Arial"/>
          <w:sz w:val="21"/>
          <w:szCs w:val="21"/>
        </w:rPr>
        <w:t>1</w:t>
      </w:r>
      <w:r>
        <w:rPr>
          <w:rFonts w:ascii="Arial" w:hAnsi="Arial" w:cs="Arial"/>
          <w:sz w:val="21"/>
          <w:szCs w:val="21"/>
        </w:rPr>
        <w:t>，</w:t>
      </w:r>
      <w:r>
        <w:rPr>
          <w:rFonts w:ascii="Arial" w:hAnsi="Arial" w:cs="Arial"/>
          <w:sz w:val="21"/>
          <w:szCs w:val="21"/>
        </w:rPr>
        <w:t>1</w:t>
      </w:r>
      <w:r>
        <w:rPr>
          <w:rFonts w:ascii="Arial" w:hAnsi="Arial" w:cs="Arial"/>
          <w:sz w:val="21"/>
          <w:szCs w:val="21"/>
        </w:rPr>
        <w:t>，</w:t>
      </w:r>
      <w:r>
        <w:rPr>
          <w:rFonts w:ascii="Arial" w:hAnsi="Arial" w:cs="Arial"/>
          <w:sz w:val="21"/>
          <w:szCs w:val="21"/>
        </w:rPr>
        <w:t>1-</w:t>
      </w:r>
      <w:r>
        <w:rPr>
          <w:rFonts w:ascii="Arial" w:hAnsi="Arial" w:cs="Arial"/>
          <w:sz w:val="21"/>
          <w:szCs w:val="21"/>
        </w:rPr>
        <w:t>三氯</w:t>
      </w:r>
      <w:r>
        <w:rPr>
          <w:rFonts w:ascii="Arial" w:hAnsi="Arial" w:cs="Arial"/>
          <w:sz w:val="21"/>
          <w:szCs w:val="21"/>
        </w:rPr>
        <w:t>-2</w:t>
      </w:r>
      <w:r>
        <w:rPr>
          <w:rFonts w:ascii="Arial" w:hAnsi="Arial" w:cs="Arial"/>
          <w:sz w:val="21"/>
          <w:szCs w:val="21"/>
        </w:rPr>
        <w:t>，</w:t>
      </w:r>
      <w:r>
        <w:rPr>
          <w:rFonts w:ascii="Arial" w:hAnsi="Arial" w:cs="Arial"/>
          <w:sz w:val="21"/>
          <w:szCs w:val="21"/>
        </w:rPr>
        <w:t>2-</w:t>
      </w:r>
      <w:r>
        <w:rPr>
          <w:rFonts w:ascii="Arial" w:hAnsi="Arial" w:cs="Arial"/>
          <w:sz w:val="21"/>
          <w:szCs w:val="21"/>
        </w:rPr>
        <w:t>二（对一氯苯基）乙烷）</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、滴滴涕的生产和使用应予取缔，但已通知秘书处、告知其生产和</w:t>
      </w:r>
      <w:r>
        <w:rPr>
          <w:rFonts w:ascii="Arial" w:hAnsi="Arial" w:cs="Arial"/>
          <w:sz w:val="21"/>
          <w:szCs w:val="21"/>
        </w:rPr>
        <w:t>/</w:t>
      </w:r>
      <w:r>
        <w:rPr>
          <w:rFonts w:ascii="Arial" w:hAnsi="Arial" w:cs="Arial"/>
          <w:sz w:val="21"/>
          <w:szCs w:val="21"/>
        </w:rPr>
        <w:t>或使用此种化学品意图的缔约方除外。兹建立一个滴滴涕登记簿，并应向公众开放。滴滴涕登记簿由秘书处负责保管。</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、生产和</w:t>
      </w:r>
      <w:r>
        <w:rPr>
          <w:rFonts w:ascii="Arial" w:hAnsi="Arial" w:cs="Arial"/>
          <w:sz w:val="21"/>
          <w:szCs w:val="21"/>
        </w:rPr>
        <w:t>/</w:t>
      </w:r>
      <w:r>
        <w:rPr>
          <w:rFonts w:ascii="Arial" w:hAnsi="Arial" w:cs="Arial"/>
          <w:sz w:val="21"/>
          <w:szCs w:val="21"/>
        </w:rPr>
        <w:t>或使用滴滴涕的每一缔约方应按照世界卫生组织有关使用滴滴涕的建议和指南，将其生产和</w:t>
      </w:r>
      <w:r>
        <w:rPr>
          <w:rFonts w:ascii="Arial" w:hAnsi="Arial" w:cs="Arial"/>
          <w:sz w:val="21"/>
          <w:szCs w:val="21"/>
        </w:rPr>
        <w:t>/</w:t>
      </w:r>
      <w:r>
        <w:rPr>
          <w:rFonts w:ascii="Arial" w:hAnsi="Arial" w:cs="Arial"/>
          <w:sz w:val="21"/>
          <w:szCs w:val="21"/>
        </w:rPr>
        <w:t>或使用限于病媒控制，而且在所涉缔约方无法在当地得到安全、有效且可负担的替代品时方可使用。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、未列入滴滴涕登记簿的某一个缔约方若决定需要得到滴滴涕进行病媒控制，应尽快将此事通知秘书处，以便将其名字列入滴滴涕登记簿。与此同时，还应将此事告知世界卫生组织。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4</w:t>
      </w:r>
      <w:r>
        <w:rPr>
          <w:rFonts w:ascii="Arial" w:hAnsi="Arial" w:cs="Arial"/>
          <w:sz w:val="21"/>
          <w:szCs w:val="21"/>
        </w:rPr>
        <w:t>、使用滴滴涕的每一缔约方应每三年，以拟由缔约方大会与世界卫生组织协商后决定的格式，向秘书处和世界卫生组织提供关于其使用数量、使用条件的资料，并阐明其与该缔约方疾病控制战略的相关性。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5</w:t>
      </w:r>
      <w:r>
        <w:rPr>
          <w:rFonts w:ascii="Arial" w:hAnsi="Arial" w:cs="Arial"/>
          <w:sz w:val="21"/>
          <w:szCs w:val="21"/>
        </w:rPr>
        <w:t>、为了减少和最终消除滴滴涕的使用，缔约方大会应鼓励：</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）使用滴滴涕的每一缔约方制定和实施行动计划，作为其执行第</w:t>
      </w:r>
      <w:r>
        <w:rPr>
          <w:rFonts w:ascii="Arial" w:hAnsi="Arial" w:cs="Arial"/>
          <w:sz w:val="21"/>
          <w:szCs w:val="21"/>
        </w:rPr>
        <w:t>7</w:t>
      </w:r>
      <w:r>
        <w:rPr>
          <w:rFonts w:ascii="Arial" w:hAnsi="Arial" w:cs="Arial"/>
          <w:sz w:val="21"/>
          <w:szCs w:val="21"/>
        </w:rPr>
        <w:t>条所述计划的一部分。这一行动计划应包括：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）建立管制机制和其他机制，确保滴滴涕的使用只限于病媒控制方面；</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）执行适宜的替代品、方法和战略，包括以抵抗性控制战略来确保这些替代品的持续有效性；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）采取措施加强卫生保健并减少疾病发生率；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各缔约方在其能力范围内，促进为使用滴滴涕的缔约方研究和开发安全的替代化学品和非化学品、方法和战略，此种研究和开发应符合那些国家的国情并以减少疾病给人和经济带来的负担为目标。在考虑替代品或替代品的组合时应重视此种替代品的人类健康风险</w:t>
      </w:r>
      <w:r>
        <w:rPr>
          <w:rFonts w:ascii="Arial" w:hAnsi="Arial" w:cs="Arial"/>
          <w:sz w:val="21"/>
          <w:szCs w:val="21"/>
        </w:rPr>
        <w:lastRenderedPageBreak/>
        <w:t>和可能带来的环境问题等因素。滴滴涕的可行替代品对人类健康和环境所构成的风险应相对较小，但同时应根据有关缔约方的情况使之适用于疾病控制而且有监测数据作为依据。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6</w:t>
      </w:r>
      <w:r>
        <w:rPr>
          <w:rFonts w:ascii="Arial" w:hAnsi="Arial" w:cs="Arial"/>
          <w:sz w:val="21"/>
          <w:szCs w:val="21"/>
        </w:rPr>
        <w:t>、自缔约方大会第一次会议开始，嗣后至少每三年，缔约方大会应与世界卫生组织协商，根据可得的科学、技术、环境和经济信息，评价是否继续有必要使用滴滴涕来控制病媒，上述信息应包括：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）滴滴涕的生产和使用情况及上述第</w:t>
      </w:r>
      <w:r>
        <w:rPr>
          <w:rFonts w:ascii="Arial" w:hAnsi="Arial" w:cs="Arial"/>
          <w:sz w:val="21"/>
          <w:szCs w:val="21"/>
        </w:rPr>
        <w:t>2</w:t>
      </w:r>
      <w:r>
        <w:rPr>
          <w:rFonts w:ascii="Arial" w:hAnsi="Arial" w:cs="Arial"/>
          <w:sz w:val="21"/>
          <w:szCs w:val="21"/>
        </w:rPr>
        <w:t>款规定的条件；</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）滴滴涕替代品的可行性、适宜性和应用情况；和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）在加强各国能力、使其顺利过渡到基本上使用替代品方面的进展情况。</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7</w:t>
      </w:r>
      <w:r>
        <w:rPr>
          <w:rFonts w:ascii="Arial" w:hAnsi="Arial" w:cs="Arial"/>
          <w:sz w:val="21"/>
          <w:szCs w:val="21"/>
        </w:rPr>
        <w:t>、缔约方均可随时向秘书处提交书面通知，要求将其从滴滴涕登记簿中撤销。此项撤销应于该通知所确定的日期生效。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附件</w:t>
      </w:r>
      <w:r>
        <w:rPr>
          <w:rFonts w:ascii="Arial" w:hAnsi="Arial" w:cs="Arial"/>
          <w:sz w:val="21"/>
          <w:szCs w:val="21"/>
        </w:rPr>
        <w:t>C</w:t>
      </w:r>
      <w:r>
        <w:rPr>
          <w:rFonts w:ascii="Arial" w:hAnsi="Arial" w:cs="Arial"/>
          <w:sz w:val="21"/>
          <w:szCs w:val="21"/>
        </w:rPr>
        <w:t>：</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无意的生产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第一部分：依据第</w:t>
      </w:r>
      <w:r>
        <w:rPr>
          <w:rFonts w:ascii="Arial" w:hAnsi="Arial" w:cs="Arial"/>
          <w:sz w:val="21"/>
          <w:szCs w:val="21"/>
        </w:rPr>
        <w:t>5</w:t>
      </w:r>
      <w:r>
        <w:rPr>
          <w:rFonts w:ascii="Arial" w:hAnsi="Arial" w:cs="Arial"/>
          <w:sz w:val="21"/>
          <w:szCs w:val="21"/>
        </w:rPr>
        <w:t>条规定予以处理的持久性有机污染物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本附件涉及下列自人为来源无意形成和排放的持久性有机污染物：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化</w:t>
      </w:r>
      <w:r>
        <w:rPr>
          <w:rFonts w:ascii="Arial" w:hAnsi="Arial" w:cs="Arial"/>
          <w:sz w:val="21"/>
          <w:szCs w:val="21"/>
        </w:rPr>
        <w:t xml:space="preserve"> </w:t>
      </w:r>
      <w:r>
        <w:rPr>
          <w:rFonts w:ascii="Arial" w:hAnsi="Arial" w:cs="Arial"/>
          <w:sz w:val="21"/>
          <w:szCs w:val="21"/>
        </w:rPr>
        <w:t>学</w:t>
      </w:r>
      <w:r>
        <w:rPr>
          <w:rFonts w:ascii="Arial" w:hAnsi="Arial" w:cs="Arial"/>
          <w:sz w:val="21"/>
          <w:szCs w:val="21"/>
        </w:rPr>
        <w:t xml:space="preserve"> </w:t>
      </w:r>
      <w:r>
        <w:rPr>
          <w:rFonts w:ascii="Arial" w:hAnsi="Arial" w:cs="Arial"/>
          <w:sz w:val="21"/>
          <w:szCs w:val="21"/>
        </w:rPr>
        <w:t>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多氯二苯并对二恶英和多氯二苯并呋喃（</w:t>
      </w:r>
      <w:r>
        <w:rPr>
          <w:rFonts w:ascii="Arial" w:hAnsi="Arial" w:cs="Arial"/>
          <w:sz w:val="21"/>
          <w:szCs w:val="21"/>
        </w:rPr>
        <w:t>PCDD/PCDF</w:t>
      </w:r>
      <w:r>
        <w:rPr>
          <w:rFonts w:ascii="Arial" w:hAnsi="Arial" w:cs="Arial"/>
          <w:sz w:val="21"/>
          <w:szCs w:val="21"/>
        </w:rPr>
        <w:t>）</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六氯代苯（</w:t>
      </w:r>
      <w:r>
        <w:rPr>
          <w:rFonts w:ascii="Arial" w:hAnsi="Arial" w:cs="Arial"/>
          <w:sz w:val="21"/>
          <w:szCs w:val="21"/>
        </w:rPr>
        <w:t>HCB</w:t>
      </w:r>
      <w:r>
        <w:rPr>
          <w:rFonts w:ascii="Arial" w:hAnsi="Arial" w:cs="Arial"/>
          <w:sz w:val="21"/>
          <w:szCs w:val="21"/>
        </w:rPr>
        <w:t>）（化学文摘号：</w:t>
      </w:r>
      <w:r>
        <w:rPr>
          <w:rFonts w:ascii="Arial" w:hAnsi="Arial" w:cs="Arial"/>
          <w:sz w:val="21"/>
          <w:szCs w:val="21"/>
        </w:rPr>
        <w:t>118-74-1</w:t>
      </w:r>
      <w:r>
        <w:rPr>
          <w:rFonts w:ascii="Arial" w:hAnsi="Arial" w:cs="Arial"/>
          <w:sz w:val="21"/>
          <w:szCs w:val="21"/>
        </w:rPr>
        <w:t>）</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多氯联苯（</w:t>
      </w:r>
      <w:r>
        <w:rPr>
          <w:rFonts w:ascii="Arial" w:hAnsi="Arial" w:cs="Arial"/>
          <w:sz w:val="21"/>
          <w:szCs w:val="21"/>
        </w:rPr>
        <w:t>PCB</w:t>
      </w:r>
      <w:r>
        <w:rPr>
          <w:rFonts w:ascii="Arial" w:hAnsi="Arial" w:cs="Arial"/>
          <w:sz w:val="21"/>
          <w:szCs w:val="21"/>
        </w:rPr>
        <w:t>）</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第二部分：来源类别</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多氯二苯并对二恶英和多氯二苯并呋喃（</w:t>
      </w:r>
      <w:r>
        <w:rPr>
          <w:rFonts w:ascii="Arial" w:hAnsi="Arial" w:cs="Arial"/>
          <w:sz w:val="21"/>
          <w:szCs w:val="21"/>
        </w:rPr>
        <w:t>PCDD/PCDF</w:t>
      </w:r>
      <w:r>
        <w:rPr>
          <w:rFonts w:ascii="Arial" w:hAnsi="Arial" w:cs="Arial"/>
          <w:sz w:val="21"/>
          <w:szCs w:val="21"/>
        </w:rPr>
        <w:t>）、六氯代苯（</w:t>
      </w:r>
      <w:r>
        <w:rPr>
          <w:rFonts w:ascii="Arial" w:hAnsi="Arial" w:cs="Arial"/>
          <w:sz w:val="21"/>
          <w:szCs w:val="21"/>
        </w:rPr>
        <w:t>HCB</w:t>
      </w:r>
      <w:r>
        <w:rPr>
          <w:rFonts w:ascii="Arial" w:hAnsi="Arial" w:cs="Arial"/>
          <w:sz w:val="21"/>
          <w:szCs w:val="21"/>
        </w:rPr>
        <w:t>）和多氯联苯（</w:t>
      </w:r>
      <w:r>
        <w:rPr>
          <w:rFonts w:ascii="Arial" w:hAnsi="Arial" w:cs="Arial"/>
          <w:sz w:val="21"/>
          <w:szCs w:val="21"/>
        </w:rPr>
        <w:t>PCB</w:t>
      </w:r>
      <w:r>
        <w:rPr>
          <w:rFonts w:ascii="Arial" w:hAnsi="Arial" w:cs="Arial"/>
          <w:sz w:val="21"/>
          <w:szCs w:val="21"/>
        </w:rPr>
        <w:t>）同为在涉及有机物质和氯的热处理过程中无意形成和排放的化学品，均系燃烧或化学反应不完全所致。下列工业来源类别具有相对较高地形成和向环境中排放这些化学品的潜在性：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）废物焚烧炉，包括都市生活废物、危险性或医疗废物或下水道中污物的多用途焚烧炉；</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）燃烧危险废物的水泥窑；</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）以元素氯或可生成元素氯的化学品为漂白剂的纸浆生产；</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d</w:t>
      </w:r>
      <w:r>
        <w:rPr>
          <w:rFonts w:ascii="Arial" w:hAnsi="Arial" w:cs="Arial"/>
          <w:sz w:val="21"/>
          <w:szCs w:val="21"/>
        </w:rPr>
        <w:t>）冶金工业中的下列热处理过程：</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）铜的再生生产；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）钢铁工业的烧结工厂；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）铝的再生生产；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）锌的再生生产。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第三部分：来源类别</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多氯二苯并对二恶英和多氯二苯并呋喃（</w:t>
      </w:r>
      <w:r>
        <w:rPr>
          <w:rFonts w:ascii="Arial" w:hAnsi="Arial" w:cs="Arial"/>
          <w:sz w:val="21"/>
          <w:szCs w:val="21"/>
        </w:rPr>
        <w:t>PCDD/PCDF</w:t>
      </w:r>
      <w:r>
        <w:rPr>
          <w:rFonts w:ascii="Arial" w:hAnsi="Arial" w:cs="Arial"/>
          <w:sz w:val="21"/>
          <w:szCs w:val="21"/>
        </w:rPr>
        <w:t>）、六氯代苯（</w:t>
      </w:r>
      <w:r>
        <w:rPr>
          <w:rFonts w:ascii="Arial" w:hAnsi="Arial" w:cs="Arial"/>
          <w:sz w:val="21"/>
          <w:szCs w:val="21"/>
        </w:rPr>
        <w:t>HCB</w:t>
      </w:r>
      <w:r>
        <w:rPr>
          <w:rFonts w:ascii="Arial" w:hAnsi="Arial" w:cs="Arial"/>
          <w:sz w:val="21"/>
          <w:szCs w:val="21"/>
        </w:rPr>
        <w:t>）和多氯联苯（</w:t>
      </w:r>
      <w:r>
        <w:rPr>
          <w:rFonts w:ascii="Arial" w:hAnsi="Arial" w:cs="Arial"/>
          <w:sz w:val="21"/>
          <w:szCs w:val="21"/>
        </w:rPr>
        <w:t>PCB</w:t>
      </w:r>
      <w:r>
        <w:rPr>
          <w:rFonts w:ascii="Arial" w:hAnsi="Arial" w:cs="Arial"/>
          <w:sz w:val="21"/>
          <w:szCs w:val="21"/>
        </w:rPr>
        <w:t>）亦可从下列来源类别无意生成和排放出来，其中包括：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）废物的露天焚烧，包括在填埋场的焚烧；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）第二部分中未提及的冶金工业中的其他热处理过程；</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）住户燃烧源；</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）使用矿物燃料的设施和工业锅炉；</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）使用木材和其他生物质能的燃烧装置；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f</w:t>
      </w:r>
      <w:r>
        <w:rPr>
          <w:rFonts w:ascii="Arial" w:hAnsi="Arial" w:cs="Arial"/>
          <w:sz w:val="21"/>
          <w:szCs w:val="21"/>
        </w:rPr>
        <w:t>）排放无意形成的持久性有机污染物的特定化学品生产过程，特别是氯代酚和氯代醌的生产；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g</w:t>
      </w:r>
      <w:r>
        <w:rPr>
          <w:rFonts w:ascii="Arial" w:hAnsi="Arial" w:cs="Arial"/>
          <w:sz w:val="21"/>
          <w:szCs w:val="21"/>
        </w:rPr>
        <w:t>）焚尸炉；</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h</w:t>
      </w:r>
      <w:r>
        <w:rPr>
          <w:rFonts w:ascii="Arial" w:hAnsi="Arial" w:cs="Arial"/>
          <w:sz w:val="21"/>
          <w:szCs w:val="21"/>
        </w:rPr>
        <w:t>）机动车辆，特别是使用含铅汽油的车辆；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）动物遗骸的销毁；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j</w:t>
      </w:r>
      <w:r>
        <w:rPr>
          <w:rFonts w:ascii="Arial" w:hAnsi="Arial" w:cs="Arial"/>
          <w:sz w:val="21"/>
          <w:szCs w:val="21"/>
        </w:rPr>
        <w:t>）纺织品和皮革染色（使用氯代醌）和修整（碱萃取）；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k</w:t>
      </w:r>
      <w:r>
        <w:rPr>
          <w:rFonts w:ascii="Arial" w:hAnsi="Arial" w:cs="Arial"/>
          <w:sz w:val="21"/>
          <w:szCs w:val="21"/>
        </w:rPr>
        <w:t>）处理报废车辆的破碎作业工厂；</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l</w:t>
      </w:r>
      <w:r>
        <w:rPr>
          <w:rFonts w:ascii="Arial" w:hAnsi="Arial" w:cs="Arial"/>
          <w:sz w:val="21"/>
          <w:szCs w:val="21"/>
        </w:rPr>
        <w:t>）铜制电缆线的低温燃烧；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m</w:t>
      </w:r>
      <w:r>
        <w:rPr>
          <w:rFonts w:ascii="Arial" w:hAnsi="Arial" w:cs="Arial"/>
          <w:sz w:val="21"/>
          <w:szCs w:val="21"/>
        </w:rPr>
        <w:t>）废油提炼。</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第四部分：定</w:t>
      </w:r>
      <w:r>
        <w:rPr>
          <w:rFonts w:ascii="Arial" w:hAnsi="Arial" w:cs="Arial"/>
          <w:sz w:val="21"/>
          <w:szCs w:val="21"/>
        </w:rPr>
        <w:t xml:space="preserve"> </w:t>
      </w:r>
      <w:r>
        <w:rPr>
          <w:rFonts w:ascii="Arial" w:hAnsi="Arial" w:cs="Arial"/>
          <w:sz w:val="21"/>
          <w:szCs w:val="21"/>
        </w:rPr>
        <w:t>义</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1</w:t>
      </w:r>
      <w:r>
        <w:rPr>
          <w:rFonts w:ascii="Arial" w:hAnsi="Arial" w:cs="Arial"/>
          <w:sz w:val="21"/>
          <w:szCs w:val="21"/>
        </w:rPr>
        <w:t>、为本附件的目的：</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a</w:t>
      </w:r>
      <w:r>
        <w:rPr>
          <w:rFonts w:ascii="Arial" w:hAnsi="Arial" w:cs="Arial"/>
          <w:sz w:val="21"/>
          <w:szCs w:val="21"/>
        </w:rPr>
        <w:t>）</w:t>
      </w:r>
      <w:r>
        <w:rPr>
          <w:rFonts w:ascii="Arial" w:hAnsi="Arial" w:cs="Arial"/>
          <w:sz w:val="21"/>
          <w:szCs w:val="21"/>
        </w:rPr>
        <w:t>“</w:t>
      </w:r>
      <w:r>
        <w:rPr>
          <w:rFonts w:ascii="Arial" w:hAnsi="Arial" w:cs="Arial"/>
          <w:sz w:val="21"/>
          <w:szCs w:val="21"/>
        </w:rPr>
        <w:t>多氯联苯</w:t>
      </w:r>
      <w:r>
        <w:rPr>
          <w:rFonts w:ascii="Arial" w:hAnsi="Arial" w:cs="Arial"/>
          <w:sz w:val="21"/>
          <w:szCs w:val="21"/>
        </w:rPr>
        <w:t>”</w:t>
      </w:r>
      <w:r>
        <w:rPr>
          <w:rFonts w:ascii="Arial" w:hAnsi="Arial" w:cs="Arial"/>
          <w:sz w:val="21"/>
          <w:szCs w:val="21"/>
        </w:rPr>
        <w:t>（</w:t>
      </w:r>
      <w:r>
        <w:rPr>
          <w:rFonts w:ascii="Arial" w:hAnsi="Arial" w:cs="Arial"/>
          <w:sz w:val="21"/>
          <w:szCs w:val="21"/>
        </w:rPr>
        <w:t>PCB</w:t>
      </w:r>
      <w:r>
        <w:rPr>
          <w:rFonts w:ascii="Arial" w:hAnsi="Arial" w:cs="Arial"/>
          <w:sz w:val="21"/>
          <w:szCs w:val="21"/>
        </w:rPr>
        <w:t>）是指按下列方式形成的芳族化合物，即二联苯分子上的氢原子（两个苯环由一个单一的碳</w:t>
      </w:r>
      <w:r>
        <w:rPr>
          <w:rFonts w:ascii="Arial" w:hAnsi="Arial" w:cs="Arial"/>
          <w:sz w:val="21"/>
          <w:szCs w:val="21"/>
        </w:rPr>
        <w:t>-</w:t>
      </w:r>
      <w:r>
        <w:rPr>
          <w:rFonts w:ascii="Arial" w:hAnsi="Arial" w:cs="Arial"/>
          <w:sz w:val="21"/>
          <w:szCs w:val="21"/>
        </w:rPr>
        <w:t>碳键连接在一起）可由多至</w:t>
      </w:r>
      <w:r>
        <w:rPr>
          <w:rFonts w:ascii="Arial" w:hAnsi="Arial" w:cs="Arial"/>
          <w:sz w:val="21"/>
          <w:szCs w:val="21"/>
        </w:rPr>
        <w:t>10</w:t>
      </w:r>
      <w:r>
        <w:rPr>
          <w:rFonts w:ascii="Arial" w:hAnsi="Arial" w:cs="Arial"/>
          <w:sz w:val="21"/>
          <w:szCs w:val="21"/>
        </w:rPr>
        <w:t>个氯原子替代。</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）多氯二苯并对二恶英和多氯二苯并呋喃（</w:t>
      </w:r>
      <w:r>
        <w:rPr>
          <w:rFonts w:ascii="Arial" w:hAnsi="Arial" w:cs="Arial"/>
          <w:sz w:val="21"/>
          <w:szCs w:val="21"/>
        </w:rPr>
        <w:t>PCDD/PCDF</w:t>
      </w:r>
      <w:r>
        <w:rPr>
          <w:rFonts w:ascii="Arial" w:hAnsi="Arial" w:cs="Arial"/>
          <w:sz w:val="21"/>
          <w:szCs w:val="21"/>
        </w:rPr>
        <w:t>）是由两个苯环组成的三环芳香化合物，在</w:t>
      </w:r>
      <w:r>
        <w:rPr>
          <w:rFonts w:ascii="Arial" w:hAnsi="Arial" w:cs="Arial"/>
          <w:sz w:val="21"/>
          <w:szCs w:val="21"/>
        </w:rPr>
        <w:t>PCDD</w:t>
      </w:r>
      <w:r>
        <w:rPr>
          <w:rFonts w:ascii="Arial" w:hAnsi="Arial" w:cs="Arial"/>
          <w:sz w:val="21"/>
          <w:szCs w:val="21"/>
        </w:rPr>
        <w:t>中由两个氧原子连接，在</w:t>
      </w:r>
      <w:r>
        <w:rPr>
          <w:rFonts w:ascii="Arial" w:hAnsi="Arial" w:cs="Arial"/>
          <w:sz w:val="21"/>
          <w:szCs w:val="21"/>
        </w:rPr>
        <w:t>PCDF</w:t>
      </w:r>
      <w:r>
        <w:rPr>
          <w:rFonts w:ascii="Arial" w:hAnsi="Arial" w:cs="Arial"/>
          <w:sz w:val="21"/>
          <w:szCs w:val="21"/>
        </w:rPr>
        <w:t>中由一个氧原子和一个碳</w:t>
      </w:r>
      <w:r>
        <w:rPr>
          <w:rFonts w:ascii="Arial" w:hAnsi="Arial" w:cs="Arial"/>
          <w:sz w:val="21"/>
          <w:szCs w:val="21"/>
        </w:rPr>
        <w:t>-</w:t>
      </w:r>
      <w:r>
        <w:rPr>
          <w:rFonts w:ascii="Arial" w:hAnsi="Arial" w:cs="Arial"/>
          <w:sz w:val="21"/>
          <w:szCs w:val="21"/>
        </w:rPr>
        <w:t>碳键连接，而其中的氢原子可以由多至八个氯原子所替代。</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、在本附件中，</w:t>
      </w:r>
      <w:r>
        <w:rPr>
          <w:rFonts w:ascii="Arial" w:hAnsi="Arial" w:cs="Arial"/>
          <w:sz w:val="21"/>
          <w:szCs w:val="21"/>
        </w:rPr>
        <w:t>PCDD/PCDF</w:t>
      </w:r>
      <w:r>
        <w:rPr>
          <w:rFonts w:ascii="Arial" w:hAnsi="Arial" w:cs="Arial"/>
          <w:sz w:val="21"/>
          <w:szCs w:val="21"/>
        </w:rPr>
        <w:t>的毒性用毒性当量的概念来表示，用以测定</w:t>
      </w:r>
      <w:r>
        <w:rPr>
          <w:rFonts w:ascii="Arial" w:hAnsi="Arial" w:cs="Arial"/>
          <w:sz w:val="21"/>
          <w:szCs w:val="21"/>
        </w:rPr>
        <w:t>PCDD</w:t>
      </w:r>
      <w:r>
        <w:rPr>
          <w:rFonts w:ascii="Arial" w:hAnsi="Arial" w:cs="Arial"/>
          <w:sz w:val="21"/>
          <w:szCs w:val="21"/>
        </w:rPr>
        <w:t>．</w:t>
      </w:r>
      <w:r>
        <w:rPr>
          <w:rFonts w:ascii="Arial" w:hAnsi="Arial" w:cs="Arial"/>
          <w:sz w:val="21"/>
          <w:szCs w:val="21"/>
        </w:rPr>
        <w:t>PCDF</w:t>
      </w:r>
      <w:r>
        <w:rPr>
          <w:rFonts w:ascii="Arial" w:hAnsi="Arial" w:cs="Arial"/>
          <w:sz w:val="21"/>
          <w:szCs w:val="21"/>
        </w:rPr>
        <w:t>和共面的</w:t>
      </w:r>
      <w:r>
        <w:rPr>
          <w:rFonts w:ascii="Arial" w:hAnsi="Arial" w:cs="Arial"/>
          <w:sz w:val="21"/>
          <w:szCs w:val="21"/>
        </w:rPr>
        <w:t>PCB</w:t>
      </w:r>
      <w:r>
        <w:rPr>
          <w:rFonts w:ascii="Arial" w:hAnsi="Arial" w:cs="Arial"/>
          <w:sz w:val="21"/>
          <w:szCs w:val="21"/>
        </w:rPr>
        <w:t>的各种同系物与</w:t>
      </w:r>
      <w:r>
        <w:rPr>
          <w:rFonts w:ascii="Arial" w:hAnsi="Arial" w:cs="Arial"/>
          <w:sz w:val="21"/>
          <w:szCs w:val="21"/>
        </w:rPr>
        <w:t>2</w:t>
      </w:r>
      <w:r>
        <w:rPr>
          <w:rFonts w:ascii="Arial" w:hAnsi="Arial" w:cs="Arial"/>
          <w:sz w:val="21"/>
          <w:szCs w:val="21"/>
        </w:rPr>
        <w:t>，</w:t>
      </w:r>
      <w:r>
        <w:rPr>
          <w:rFonts w:ascii="Arial" w:hAnsi="Arial" w:cs="Arial"/>
          <w:sz w:val="21"/>
          <w:szCs w:val="21"/>
        </w:rPr>
        <w:t>3</w:t>
      </w:r>
      <w:r>
        <w:rPr>
          <w:rFonts w:ascii="Arial" w:hAnsi="Arial" w:cs="Arial"/>
          <w:sz w:val="21"/>
          <w:szCs w:val="21"/>
        </w:rPr>
        <w:t>，</w:t>
      </w:r>
      <w:r>
        <w:rPr>
          <w:rFonts w:ascii="Arial" w:hAnsi="Arial" w:cs="Arial"/>
          <w:sz w:val="21"/>
          <w:szCs w:val="21"/>
        </w:rPr>
        <w:t>7</w:t>
      </w:r>
      <w:r>
        <w:rPr>
          <w:rFonts w:ascii="Arial" w:hAnsi="Arial" w:cs="Arial"/>
          <w:sz w:val="21"/>
          <w:szCs w:val="21"/>
        </w:rPr>
        <w:t>，</w:t>
      </w:r>
      <w:r>
        <w:rPr>
          <w:rFonts w:ascii="Arial" w:hAnsi="Arial" w:cs="Arial"/>
          <w:sz w:val="21"/>
          <w:szCs w:val="21"/>
        </w:rPr>
        <w:t>8-</w:t>
      </w:r>
      <w:r>
        <w:rPr>
          <w:rFonts w:ascii="Arial" w:hAnsi="Arial" w:cs="Arial"/>
          <w:sz w:val="21"/>
          <w:szCs w:val="21"/>
        </w:rPr>
        <w:t>四氯二苯并对二恶英相比较的类似二恶英的相对毒性活度。为了本公约的目的，拟采用的毒性当量系数应与公认的国际标准相一致，首先是采用世界卫生组织于</w:t>
      </w:r>
      <w:r>
        <w:rPr>
          <w:rFonts w:ascii="Arial" w:hAnsi="Arial" w:cs="Arial"/>
          <w:sz w:val="21"/>
          <w:szCs w:val="21"/>
        </w:rPr>
        <w:t>1998</w:t>
      </w:r>
      <w:r>
        <w:rPr>
          <w:rFonts w:ascii="Arial" w:hAnsi="Arial" w:cs="Arial"/>
          <w:sz w:val="21"/>
          <w:szCs w:val="21"/>
        </w:rPr>
        <w:t>年针对</w:t>
      </w:r>
      <w:r>
        <w:rPr>
          <w:rFonts w:ascii="Arial" w:hAnsi="Arial" w:cs="Arial"/>
          <w:sz w:val="21"/>
          <w:szCs w:val="21"/>
        </w:rPr>
        <w:t>PCDD</w:t>
      </w:r>
      <w:r>
        <w:rPr>
          <w:rFonts w:ascii="Arial" w:hAnsi="Arial" w:cs="Arial"/>
          <w:sz w:val="21"/>
          <w:szCs w:val="21"/>
        </w:rPr>
        <w:t>．</w:t>
      </w:r>
      <w:r>
        <w:rPr>
          <w:rFonts w:ascii="Arial" w:hAnsi="Arial" w:cs="Arial"/>
          <w:sz w:val="21"/>
          <w:szCs w:val="21"/>
        </w:rPr>
        <w:t>PCDF</w:t>
      </w:r>
      <w:r>
        <w:rPr>
          <w:rFonts w:ascii="Arial" w:hAnsi="Arial" w:cs="Arial"/>
          <w:sz w:val="21"/>
          <w:szCs w:val="21"/>
        </w:rPr>
        <w:t>和共面的</w:t>
      </w:r>
      <w:r>
        <w:rPr>
          <w:rFonts w:ascii="Arial" w:hAnsi="Arial" w:cs="Arial"/>
          <w:sz w:val="21"/>
          <w:szCs w:val="21"/>
        </w:rPr>
        <w:t>PCB</w:t>
      </w:r>
      <w:r>
        <w:rPr>
          <w:rFonts w:ascii="Arial" w:hAnsi="Arial" w:cs="Arial"/>
          <w:sz w:val="21"/>
          <w:szCs w:val="21"/>
        </w:rPr>
        <w:t>订立的哺乳动物毒性当量系数。毒性含量以毒性当量表示。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第五部分：关于最佳可行技术和最佳环境实践的一般性指南</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本部分为缔约方提供关于防止或减少第一部分中所列化学品的排放的一般性指导。</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．有关最佳可行技术和最佳环境实践的一般性预防措施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应优先考虑防止第一部分所列化学物质的形成和排放的方法。有用的措施似可包括：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）采用低废技术；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）使用危险性较小的物质；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）促进对生产过程中生成和使用的物质以及废物实行回收和再循环加工；</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）如果进料属于持久性有机污染物或者进料与持久性有机污染物的排放直接相关时，替换进料；</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）良好的场地管理和预防性维修方案；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f</w:t>
      </w:r>
      <w:r>
        <w:rPr>
          <w:rFonts w:ascii="Arial" w:hAnsi="Arial" w:cs="Arial"/>
          <w:sz w:val="21"/>
          <w:szCs w:val="21"/>
        </w:rPr>
        <w:t>）改进废物管理，以期停止以露天方式和以其他不加控制的方式焚烧废物，包括填埋地点的废物焚烧。在考虑关于建设新的废物处置设施的建议时，应考虑其他替代办法，例如为最大限度减少市政和医疗废物的产生而开展活动，包括资源回收、再使用、再循环、废物分类以及推广较少产生废物的产品。在这样做时应认真考虑公共卫生方面的各种关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g</w:t>
      </w:r>
      <w:r>
        <w:rPr>
          <w:rFonts w:ascii="Arial" w:hAnsi="Arial" w:cs="Arial"/>
          <w:sz w:val="21"/>
          <w:szCs w:val="21"/>
        </w:rPr>
        <w:t>）尽量减少产品中作为污染物的这些化学品含量；</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h</w:t>
      </w:r>
      <w:r>
        <w:rPr>
          <w:rFonts w:ascii="Arial" w:hAnsi="Arial" w:cs="Arial"/>
          <w:sz w:val="21"/>
          <w:szCs w:val="21"/>
        </w:rPr>
        <w:t>）避免为漂白作业而使用元素氯或产生元素氯的化学品。</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．最佳可行技术</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最佳可行技术的概念不是着眼于规定任何具体的工艺或技术，而是着眼于考虑到有关设施的技术特点、地理位置以及当地环境条件。减少第一部分所列化学物质排放量的适当控制技术大致相同。在确定最佳可行技术时，无论是在一般情况下还是在特定情况中，均应考虑到以下因素，同时铭记某项措施的可能费用和惠益以及防范和预防方面的考虑：</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）一般性考虑因素：</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）所涉排放的性质、影响和排放量：采用的技术可根据排放来源大小而有所不同；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）新的或既有设施投入使用的日期；</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）采用最佳可行技术所需要的时间；</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）生产过程中所使用的原材料的消耗情况和性质及能源利用效率；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w:t>
      </w:r>
      <w:r>
        <w:rPr>
          <w:rFonts w:ascii="Arial" w:hAnsi="Arial" w:cs="Arial"/>
          <w:sz w:val="21"/>
          <w:szCs w:val="21"/>
        </w:rPr>
        <w:t>）需要防止或尽可能减少所涉排放对环境的总体影响及其对环境所构成的风险；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vi</w:t>
      </w:r>
      <w:r>
        <w:rPr>
          <w:rFonts w:ascii="Arial" w:hAnsi="Arial" w:cs="Arial"/>
          <w:sz w:val="21"/>
          <w:szCs w:val="21"/>
        </w:rPr>
        <w:t>）需要防止意外事故和尽可能减少其对环境的不利后果；</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vii</w:t>
      </w:r>
      <w:r>
        <w:rPr>
          <w:rFonts w:ascii="Arial" w:hAnsi="Arial" w:cs="Arial"/>
          <w:sz w:val="21"/>
          <w:szCs w:val="21"/>
        </w:rPr>
        <w:t>）需要确保作业场所的职业卫生和安全；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viii</w:t>
      </w:r>
      <w:r>
        <w:rPr>
          <w:rFonts w:ascii="Arial" w:hAnsi="Arial" w:cs="Arial"/>
          <w:sz w:val="21"/>
          <w:szCs w:val="21"/>
        </w:rPr>
        <w:t>）业已在工业规模试用成功的可比的生产工艺、设施或操作方法；</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ix</w:t>
      </w:r>
      <w:r>
        <w:rPr>
          <w:rFonts w:ascii="Arial" w:hAnsi="Arial" w:cs="Arial"/>
          <w:sz w:val="21"/>
          <w:szCs w:val="21"/>
        </w:rPr>
        <w:t>）在科学知识和认知方面的技术进步和变化。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一般性排减措施：当考虑关于建造新的设施或对使用可排放本附件所列化学物质的工艺的现有设施进行重大改进的建议时，应优先考虑具有类似使用价值、但可避免形成和排放此类化学品的替代工艺、技术或实践。如拟建造此种设施或对之作出重大改进，除第五部分</w:t>
      </w:r>
      <w:r>
        <w:rPr>
          <w:rFonts w:ascii="Arial" w:hAnsi="Arial" w:cs="Arial"/>
          <w:sz w:val="21"/>
          <w:szCs w:val="21"/>
        </w:rPr>
        <w:t>A</w:t>
      </w:r>
      <w:r>
        <w:rPr>
          <w:rFonts w:ascii="Arial" w:hAnsi="Arial" w:cs="Arial"/>
          <w:sz w:val="21"/>
          <w:szCs w:val="21"/>
        </w:rPr>
        <w:t>节概要列出的预防措施外，在确定最佳可行技术时也可考虑下列排减措施：</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）使用经改进的废气净化方法，诸如热氧化或催化氧化、粉尘沉积和吸附作用等；</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）对残余物、废水、废物和污水污泥进行处理，例如可采用热处理方式或使其失去活性或能去毒的化学过程；</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）改变生产流程以实现排放的减少或消除，诸如逐步改用封闭系统等；</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）更改生产流程设计，以便通过对诸如焚烧温度或驻留时间等参数的控制，改进燃烧并防止这些化学品的形成。</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．最佳环境实践</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缔约方大会可拟定有关最佳环境实践的指南。</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附件</w:t>
      </w:r>
      <w:r>
        <w:rPr>
          <w:rFonts w:ascii="Arial" w:hAnsi="Arial" w:cs="Arial"/>
          <w:sz w:val="21"/>
          <w:szCs w:val="21"/>
        </w:rPr>
        <w:t>D</w:t>
      </w:r>
      <w:r>
        <w:rPr>
          <w:rFonts w:ascii="Arial" w:hAnsi="Arial" w:cs="Arial"/>
          <w:sz w:val="21"/>
          <w:szCs w:val="21"/>
        </w:rPr>
        <w:t>：信息要求和筛选标准</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1</w:t>
      </w:r>
      <w:r>
        <w:rPr>
          <w:rFonts w:ascii="Arial" w:hAnsi="Arial" w:cs="Arial"/>
          <w:sz w:val="21"/>
          <w:szCs w:val="21"/>
        </w:rPr>
        <w:t>、提议将某一化学品列入附件</w:t>
      </w:r>
      <w:r>
        <w:rPr>
          <w:rFonts w:ascii="Arial" w:hAnsi="Arial" w:cs="Arial"/>
          <w:sz w:val="21"/>
          <w:szCs w:val="21"/>
        </w:rPr>
        <w:t>A</w:t>
      </w:r>
      <w:r>
        <w:rPr>
          <w:rFonts w:ascii="Arial" w:hAnsi="Arial" w:cs="Arial"/>
          <w:sz w:val="21"/>
          <w:szCs w:val="21"/>
        </w:rPr>
        <w:t>．</w:t>
      </w:r>
      <w:r>
        <w:rPr>
          <w:rFonts w:ascii="Arial" w:hAnsi="Arial" w:cs="Arial"/>
          <w:sz w:val="21"/>
          <w:szCs w:val="21"/>
        </w:rPr>
        <w:t>B</w:t>
      </w:r>
      <w:r>
        <w:rPr>
          <w:rFonts w:ascii="Arial" w:hAnsi="Arial" w:cs="Arial"/>
          <w:sz w:val="21"/>
          <w:szCs w:val="21"/>
        </w:rPr>
        <w:t>和</w:t>
      </w:r>
      <w:r>
        <w:rPr>
          <w:rFonts w:ascii="Arial" w:hAnsi="Arial" w:cs="Arial"/>
          <w:sz w:val="21"/>
          <w:szCs w:val="21"/>
        </w:rPr>
        <w:t>/</w:t>
      </w:r>
      <w:r>
        <w:rPr>
          <w:rFonts w:ascii="Arial" w:hAnsi="Arial" w:cs="Arial"/>
          <w:sz w:val="21"/>
          <w:szCs w:val="21"/>
        </w:rPr>
        <w:t>或</w:t>
      </w:r>
      <w:r>
        <w:rPr>
          <w:rFonts w:ascii="Arial" w:hAnsi="Arial" w:cs="Arial"/>
          <w:sz w:val="21"/>
          <w:szCs w:val="21"/>
        </w:rPr>
        <w:t>C</w:t>
      </w:r>
      <w:r>
        <w:rPr>
          <w:rFonts w:ascii="Arial" w:hAnsi="Arial" w:cs="Arial"/>
          <w:sz w:val="21"/>
          <w:szCs w:val="21"/>
        </w:rPr>
        <w:t>的缔约方，应按（</w:t>
      </w:r>
      <w:r>
        <w:rPr>
          <w:rFonts w:ascii="Arial" w:hAnsi="Arial" w:cs="Arial"/>
          <w:sz w:val="21"/>
          <w:szCs w:val="21"/>
        </w:rPr>
        <w:t>a</w:t>
      </w:r>
      <w:r>
        <w:rPr>
          <w:rFonts w:ascii="Arial" w:hAnsi="Arial" w:cs="Arial"/>
          <w:sz w:val="21"/>
          <w:szCs w:val="21"/>
        </w:rPr>
        <w:t>）项所述的方式鉴定该化学品，并参照（</w:t>
      </w:r>
      <w:r>
        <w:rPr>
          <w:rFonts w:ascii="Arial" w:hAnsi="Arial" w:cs="Arial"/>
          <w:sz w:val="21"/>
          <w:szCs w:val="21"/>
        </w:rPr>
        <w:t>b</w:t>
      </w:r>
      <w:r>
        <w:rPr>
          <w:rFonts w:ascii="Arial" w:hAnsi="Arial" w:cs="Arial"/>
          <w:sz w:val="21"/>
          <w:szCs w:val="21"/>
        </w:rPr>
        <w:t>）至（</w:t>
      </w:r>
      <w:r>
        <w:rPr>
          <w:rFonts w:ascii="Arial" w:hAnsi="Arial" w:cs="Arial"/>
          <w:sz w:val="21"/>
          <w:szCs w:val="21"/>
        </w:rPr>
        <w:t>e</w:t>
      </w:r>
      <w:r>
        <w:rPr>
          <w:rFonts w:ascii="Arial" w:hAnsi="Arial" w:cs="Arial"/>
          <w:sz w:val="21"/>
          <w:szCs w:val="21"/>
        </w:rPr>
        <w:t>）项所列筛选标准提供关于此种化学品的信息，并酌情提供有关其变异产品的信息：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）化学品的鉴别：</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）名称，包括商品名、商业名和别名、化学文摘号及国际纯化学和应用化学联合会命名的名称；和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）结构，如有异构体，还应提供异构体的详细说明，以及化学品种类的结构；</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）持久性：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）表明该化学品在水中的半衰期大于两个月，或在土壤中的半衰期大于六个月，或在沉积物中的半衰期大于六个月的证据；或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）该化学品具有其他足够持久性、因而足以有理由考虑将之列入本公约适用范围的证据；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）生物蓄积性：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）表明该化学品在水生物种中的生物浓缩系数或生物蓄积系数大于</w:t>
      </w:r>
      <w:r>
        <w:rPr>
          <w:rFonts w:ascii="Arial" w:hAnsi="Arial" w:cs="Arial"/>
          <w:sz w:val="21"/>
          <w:szCs w:val="21"/>
        </w:rPr>
        <w:t>5</w:t>
      </w:r>
      <w:r>
        <w:rPr>
          <w:rFonts w:ascii="Arial" w:hAnsi="Arial" w:cs="Arial"/>
          <w:sz w:val="21"/>
          <w:szCs w:val="21"/>
        </w:rPr>
        <w:t>？</w:t>
      </w:r>
      <w:r>
        <w:rPr>
          <w:rFonts w:ascii="Arial" w:hAnsi="Arial" w:cs="Arial"/>
          <w:sz w:val="21"/>
          <w:szCs w:val="21"/>
        </w:rPr>
        <w:t>000</w:t>
      </w:r>
      <w:r>
        <w:rPr>
          <w:rFonts w:ascii="Arial" w:hAnsi="Arial" w:cs="Arial"/>
          <w:sz w:val="21"/>
          <w:szCs w:val="21"/>
        </w:rPr>
        <w:t>，或如无生物浓缩系数和生物蓄积系数数据，</w:t>
      </w:r>
      <w:r>
        <w:rPr>
          <w:rFonts w:ascii="Arial" w:hAnsi="Arial" w:cs="Arial"/>
          <w:sz w:val="21"/>
          <w:szCs w:val="21"/>
        </w:rPr>
        <w:t>logKow</w:t>
      </w:r>
      <w:r>
        <w:rPr>
          <w:rFonts w:ascii="Arial" w:hAnsi="Arial" w:cs="Arial"/>
          <w:sz w:val="21"/>
          <w:szCs w:val="21"/>
        </w:rPr>
        <w:t>值大于</w:t>
      </w:r>
      <w:r>
        <w:rPr>
          <w:rFonts w:ascii="Arial" w:hAnsi="Arial" w:cs="Arial"/>
          <w:sz w:val="21"/>
          <w:szCs w:val="21"/>
        </w:rPr>
        <w:t>5</w:t>
      </w:r>
      <w:r>
        <w:rPr>
          <w:rFonts w:ascii="Arial" w:hAnsi="Arial" w:cs="Arial"/>
          <w:sz w:val="21"/>
          <w:szCs w:val="21"/>
        </w:rPr>
        <w:t>的证据；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）表明该化学品有令人关注的其他原因的证据，例如在其他物种中的生物蓄积系数值较高，或具有高度的毒性或生态毒性；或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）生物区系的监测数据显示，该化学品所具有的生物蓄积潜力足以有理由考虑将其列入本公约的适用范围；</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）远距离环境迁移的潜力：</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）在远离其排放源的地点测得的该化学品的浓度可能会引起关注；</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）监测数据显示，该化学品具有向一环境受体转移的潜力，且可能已通过空气、水或迁徙物种进行了远距离环境迁移；或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）环境转归特性和</w:t>
      </w:r>
      <w:r>
        <w:rPr>
          <w:rFonts w:ascii="Arial" w:hAnsi="Arial" w:cs="Arial"/>
          <w:sz w:val="21"/>
          <w:szCs w:val="21"/>
        </w:rPr>
        <w:t>/</w:t>
      </w:r>
      <w:r>
        <w:rPr>
          <w:rFonts w:ascii="Arial" w:hAnsi="Arial" w:cs="Arial"/>
          <w:sz w:val="21"/>
          <w:szCs w:val="21"/>
        </w:rPr>
        <w:t>或模型结果显示，该化学品具有通过空气、水或迁徙物种进行远距离环境迁移的潜力，以及转移到远离物质排放源地点的某一环境受体的潜力。对于通过空气大量迁移的化学品，其在空气中的半衰期应大于两天；以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）不利影响：</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i</w:t>
      </w:r>
      <w:r>
        <w:rPr>
          <w:rFonts w:ascii="Arial" w:hAnsi="Arial" w:cs="Arial"/>
          <w:sz w:val="21"/>
          <w:szCs w:val="21"/>
        </w:rPr>
        <w:t>）表明该化学品对人类健康或对环境产生不利影响，因而有理由将之列入本公约适用范围的证据；或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）表明该化学品可能会对人类健康或对环境造成损害的毒性或生态毒性数据。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2</w:t>
      </w:r>
      <w:r>
        <w:rPr>
          <w:rFonts w:ascii="Arial" w:hAnsi="Arial" w:cs="Arial"/>
          <w:sz w:val="21"/>
          <w:szCs w:val="21"/>
        </w:rPr>
        <w:t>、作出提议的缔约方应提供一份说明，阐述其关注的理由，其中酌情包括将某一化学品的毒性或生态毒性数据与业已测得的或预测的由于远距离环境迁移而导致或预期导致的化学品含量进行比较、以及一份需要在全球范围内对之实行控制的简要说明。</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3</w:t>
      </w:r>
      <w:r>
        <w:rPr>
          <w:rFonts w:ascii="Arial" w:hAnsi="Arial" w:cs="Arial"/>
          <w:sz w:val="21"/>
          <w:szCs w:val="21"/>
        </w:rPr>
        <w:t>、作出提议的缔约方应尽一切可能，并视其自身能力提供更多的信息，以支持对第</w:t>
      </w:r>
      <w:r>
        <w:rPr>
          <w:rFonts w:ascii="Arial" w:hAnsi="Arial" w:cs="Arial"/>
          <w:sz w:val="21"/>
          <w:szCs w:val="21"/>
        </w:rPr>
        <w:t>8</w:t>
      </w:r>
      <w:r>
        <w:rPr>
          <w:rFonts w:ascii="Arial" w:hAnsi="Arial" w:cs="Arial"/>
          <w:sz w:val="21"/>
          <w:szCs w:val="21"/>
        </w:rPr>
        <w:t>条第</w:t>
      </w:r>
      <w:r>
        <w:rPr>
          <w:rFonts w:ascii="Arial" w:hAnsi="Arial" w:cs="Arial"/>
          <w:sz w:val="21"/>
          <w:szCs w:val="21"/>
        </w:rPr>
        <w:t>6</w:t>
      </w:r>
      <w:r>
        <w:rPr>
          <w:rFonts w:ascii="Arial" w:hAnsi="Arial" w:cs="Arial"/>
          <w:sz w:val="21"/>
          <w:szCs w:val="21"/>
        </w:rPr>
        <w:t>款所述提议的审查。在拟订此种提议时，缔约方可利用任何来源的专门技术知识。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附件</w:t>
      </w:r>
      <w:r>
        <w:rPr>
          <w:rFonts w:ascii="Arial" w:hAnsi="Arial" w:cs="Arial"/>
          <w:sz w:val="21"/>
          <w:szCs w:val="21"/>
        </w:rPr>
        <w:t>E</w:t>
      </w:r>
      <w:r>
        <w:rPr>
          <w:rFonts w:ascii="Arial" w:hAnsi="Arial" w:cs="Arial"/>
          <w:sz w:val="21"/>
          <w:szCs w:val="21"/>
        </w:rPr>
        <w:t>：需在风险简介中提供的资料</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进行审查的目的是评价该化学品是否会因其远距离环境迁移而对人体健康和</w:t>
      </w:r>
      <w:r>
        <w:rPr>
          <w:rFonts w:ascii="Arial" w:hAnsi="Arial" w:cs="Arial"/>
          <w:sz w:val="21"/>
          <w:szCs w:val="21"/>
        </w:rPr>
        <w:t>/</w:t>
      </w:r>
      <w:r>
        <w:rPr>
          <w:rFonts w:ascii="Arial" w:hAnsi="Arial" w:cs="Arial"/>
          <w:sz w:val="21"/>
          <w:szCs w:val="21"/>
        </w:rPr>
        <w:t>或环境产生重大不利影响，因而应当采取全球性行动。为此目的，应编写一份风险简介，对附件</w:t>
      </w:r>
      <w:r>
        <w:rPr>
          <w:rFonts w:ascii="Arial" w:hAnsi="Arial" w:cs="Arial"/>
          <w:sz w:val="21"/>
          <w:szCs w:val="21"/>
        </w:rPr>
        <w:t>D</w:t>
      </w:r>
      <w:r>
        <w:rPr>
          <w:rFonts w:ascii="Arial" w:hAnsi="Arial" w:cs="Arial"/>
          <w:sz w:val="21"/>
          <w:szCs w:val="21"/>
        </w:rPr>
        <w:t>中所述资料作进一步阐述和评价，其中尽可能包括下列各类资料：</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）来源，酌情包括：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）生产数据，其中包括数量和地点；</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）使用情况；和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）排放，例如排流、损耗和释放情况；</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）对引起关注的终点进行的危害评估，包括对多种化学品之间的毒性相互作用的考虑；</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环境转归，包括关于该化学品及其物理特性和持久性、以及这些特性与该化学品环境迁移、环境区划内及区划间转移、降解和质变成其他化学品相互间关系的数据和资料。应当根据测得的数值测定生物浓缩系数或生物蓄积系数，但监测数据被认定符合这一要求时除外；</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）监测数据；</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）在当地的接触情况，特别是因远距离环境迁移而导致的接触，包括关于生物的可生成性方面的资料；</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f</w:t>
      </w:r>
      <w:r>
        <w:rPr>
          <w:rFonts w:ascii="Arial" w:hAnsi="Arial" w:cs="Arial"/>
          <w:sz w:val="21"/>
          <w:szCs w:val="21"/>
        </w:rPr>
        <w:t>）在可行情况下的国家和国际风险评价、评估或简介，以及标识信息和危害性分类；以及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g</w:t>
      </w:r>
      <w:r>
        <w:rPr>
          <w:rFonts w:ascii="Arial" w:hAnsi="Arial" w:cs="Arial"/>
          <w:sz w:val="21"/>
          <w:szCs w:val="21"/>
        </w:rPr>
        <w:t>）该化学品在各项国际公约中的状况。</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附件</w:t>
      </w:r>
      <w:r>
        <w:rPr>
          <w:rFonts w:ascii="Arial" w:hAnsi="Arial" w:cs="Arial"/>
          <w:sz w:val="21"/>
          <w:szCs w:val="21"/>
        </w:rPr>
        <w:t>F</w:t>
      </w:r>
      <w:r>
        <w:rPr>
          <w:rFonts w:ascii="Arial" w:hAnsi="Arial" w:cs="Arial"/>
          <w:sz w:val="21"/>
          <w:szCs w:val="21"/>
        </w:rPr>
        <w:t>：涉及社会经济考虑因素的信息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在考虑将化学品列入本公约时，应评价可能对之实行的各种控制措施，包括管理和消除在内的所有选择办法。为此目的，应提供各种可能的控制措施所涉及的社会经济方面的信息，以便使缔约方大会得以作出决定。此种信息应适当顾及各缔约方的不同能力和条件，并应包括下列各项提示内容：</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a</w:t>
      </w:r>
      <w:r>
        <w:rPr>
          <w:rFonts w:ascii="Arial" w:hAnsi="Arial" w:cs="Arial"/>
          <w:sz w:val="21"/>
          <w:szCs w:val="21"/>
        </w:rPr>
        <w:t>）拟采取的控制措施在实现减少风险目标方面的成效和效率：</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）技术可行性；和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）成本，包括环境和健康成本；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b</w:t>
      </w:r>
      <w:r>
        <w:rPr>
          <w:rFonts w:ascii="Arial" w:hAnsi="Arial" w:cs="Arial"/>
          <w:sz w:val="21"/>
          <w:szCs w:val="21"/>
        </w:rPr>
        <w:t>）替代手段（产品和工艺）：</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）技术可行性；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）成本，包括环境和健康成本；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）成效；</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）风险；</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w:t>
      </w:r>
      <w:r>
        <w:rPr>
          <w:rFonts w:ascii="Arial" w:hAnsi="Arial" w:cs="Arial"/>
          <w:sz w:val="21"/>
          <w:szCs w:val="21"/>
        </w:rPr>
        <w:t>）可行性；以及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vi</w:t>
      </w:r>
      <w:r>
        <w:rPr>
          <w:rFonts w:ascii="Arial" w:hAnsi="Arial" w:cs="Arial"/>
          <w:sz w:val="21"/>
          <w:szCs w:val="21"/>
        </w:rPr>
        <w:t>）可获取性；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c</w:t>
      </w:r>
      <w:r>
        <w:rPr>
          <w:rFonts w:ascii="Arial" w:hAnsi="Arial" w:cs="Arial"/>
          <w:sz w:val="21"/>
          <w:szCs w:val="21"/>
        </w:rPr>
        <w:t>）实施拟采取的控制措施对社会产生的积极和</w:t>
      </w:r>
      <w:r>
        <w:rPr>
          <w:rFonts w:ascii="Arial" w:hAnsi="Arial" w:cs="Arial"/>
          <w:sz w:val="21"/>
          <w:szCs w:val="21"/>
        </w:rPr>
        <w:t>/</w:t>
      </w:r>
      <w:r>
        <w:rPr>
          <w:rFonts w:ascii="Arial" w:hAnsi="Arial" w:cs="Arial"/>
          <w:sz w:val="21"/>
          <w:szCs w:val="21"/>
        </w:rPr>
        <w:t>或消极影响：</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）卫生，包括公共、环境和职业卫生；</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w:t>
      </w:r>
      <w:r>
        <w:rPr>
          <w:rFonts w:ascii="Arial" w:hAnsi="Arial" w:cs="Arial"/>
          <w:sz w:val="21"/>
          <w:szCs w:val="21"/>
        </w:rPr>
        <w:t>）农业，包括水产养殖业和林业；</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iii</w:t>
      </w:r>
      <w:r>
        <w:rPr>
          <w:rFonts w:ascii="Arial" w:hAnsi="Arial" w:cs="Arial"/>
          <w:sz w:val="21"/>
          <w:szCs w:val="21"/>
        </w:rPr>
        <w:t>）生物区系（生物多样性）；</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iv</w:t>
      </w:r>
      <w:r>
        <w:rPr>
          <w:rFonts w:ascii="Arial" w:hAnsi="Arial" w:cs="Arial"/>
          <w:sz w:val="21"/>
          <w:szCs w:val="21"/>
        </w:rPr>
        <w:t>）经济方面；</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w:t>
      </w:r>
      <w:r>
        <w:rPr>
          <w:rFonts w:ascii="Arial" w:hAnsi="Arial" w:cs="Arial"/>
          <w:sz w:val="21"/>
          <w:szCs w:val="21"/>
        </w:rPr>
        <w:t>）可持续发展的推进；以及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vi</w:t>
      </w:r>
      <w:r>
        <w:rPr>
          <w:rFonts w:ascii="Arial" w:hAnsi="Arial" w:cs="Arial"/>
          <w:sz w:val="21"/>
          <w:szCs w:val="21"/>
        </w:rPr>
        <w:t>）社会成本；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d</w:t>
      </w:r>
      <w:r>
        <w:rPr>
          <w:rFonts w:ascii="Arial" w:hAnsi="Arial" w:cs="Arial"/>
          <w:sz w:val="21"/>
          <w:szCs w:val="21"/>
        </w:rPr>
        <w:t>）废物及其处置所涉及的问题（特别是对过期农药库存和受污染场所的清理）：</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i</w:t>
      </w:r>
      <w:r>
        <w:rPr>
          <w:rFonts w:ascii="Arial" w:hAnsi="Arial" w:cs="Arial"/>
          <w:sz w:val="21"/>
          <w:szCs w:val="21"/>
        </w:rPr>
        <w:t>）技术可行性；和</w:t>
      </w:r>
    </w:p>
    <w:p w:rsidR="00282C6E" w:rsidRDefault="00282C6E" w:rsidP="00282C6E">
      <w:pPr>
        <w:pStyle w:val="a5"/>
        <w:spacing w:line="330" w:lineRule="atLeast"/>
        <w:rPr>
          <w:rFonts w:ascii="Arial" w:hAnsi="Arial" w:cs="Arial"/>
          <w:sz w:val="21"/>
          <w:szCs w:val="21"/>
        </w:rPr>
      </w:pPr>
      <w:r>
        <w:rPr>
          <w:rFonts w:ascii="Arial" w:hAnsi="Arial" w:cs="Arial"/>
          <w:sz w:val="21"/>
          <w:szCs w:val="21"/>
        </w:rPr>
        <w:lastRenderedPageBreak/>
        <w:t xml:space="preserve">　　（</w:t>
      </w:r>
      <w:r>
        <w:rPr>
          <w:rFonts w:ascii="Arial" w:hAnsi="Arial" w:cs="Arial"/>
          <w:sz w:val="21"/>
          <w:szCs w:val="21"/>
        </w:rPr>
        <w:t>ii</w:t>
      </w:r>
      <w:r>
        <w:rPr>
          <w:rFonts w:ascii="Arial" w:hAnsi="Arial" w:cs="Arial"/>
          <w:sz w:val="21"/>
          <w:szCs w:val="21"/>
        </w:rPr>
        <w:t>）成本；</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e</w:t>
      </w:r>
      <w:r>
        <w:rPr>
          <w:rFonts w:ascii="Arial" w:hAnsi="Arial" w:cs="Arial"/>
          <w:sz w:val="21"/>
          <w:szCs w:val="21"/>
        </w:rPr>
        <w:t>）信息获得和公众教育；</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f</w:t>
      </w:r>
      <w:r>
        <w:rPr>
          <w:rFonts w:ascii="Arial" w:hAnsi="Arial" w:cs="Arial"/>
          <w:sz w:val="21"/>
          <w:szCs w:val="21"/>
        </w:rPr>
        <w:t>）控制和监测能力的状况；以及</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w:t>
      </w:r>
      <w:r>
        <w:rPr>
          <w:rFonts w:ascii="Arial" w:hAnsi="Arial" w:cs="Arial"/>
          <w:sz w:val="21"/>
          <w:szCs w:val="21"/>
        </w:rPr>
        <w:t>g</w:t>
      </w:r>
      <w:r>
        <w:rPr>
          <w:rFonts w:ascii="Arial" w:hAnsi="Arial" w:cs="Arial"/>
          <w:sz w:val="21"/>
          <w:szCs w:val="21"/>
        </w:rPr>
        <w:t>）所采取的任何国家或区域控制行动，包括有关替代手段的信息和其他相关的风险管理信息。</w:t>
      </w:r>
    </w:p>
    <w:p w:rsidR="00282C6E" w:rsidRDefault="00282C6E" w:rsidP="00282C6E">
      <w:pPr>
        <w:pStyle w:val="a5"/>
        <w:spacing w:line="330" w:lineRule="atLeast"/>
        <w:rPr>
          <w:rFonts w:ascii="Arial" w:hAnsi="Arial" w:cs="Arial"/>
          <w:sz w:val="21"/>
          <w:szCs w:val="21"/>
        </w:rPr>
      </w:pPr>
      <w:r>
        <w:rPr>
          <w:rFonts w:ascii="Arial" w:hAnsi="Arial" w:cs="Arial"/>
          <w:sz w:val="21"/>
          <w:szCs w:val="21"/>
        </w:rPr>
        <w:t xml:space="preserve">　　斯德哥尔摩</w:t>
      </w:r>
    </w:p>
    <w:p w:rsidR="00B7572B" w:rsidRDefault="00B7572B"/>
    <w:sectPr w:rsidR="00B7572B" w:rsidSect="00B757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4D71" w:rsidRDefault="00774D71" w:rsidP="00282C6E">
      <w:r>
        <w:separator/>
      </w:r>
    </w:p>
  </w:endnote>
  <w:endnote w:type="continuationSeparator" w:id="0">
    <w:p w:rsidR="00774D71" w:rsidRDefault="00774D71" w:rsidP="00282C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4D71" w:rsidRDefault="00774D71" w:rsidP="00282C6E">
      <w:r>
        <w:separator/>
      </w:r>
    </w:p>
  </w:footnote>
  <w:footnote w:type="continuationSeparator" w:id="0">
    <w:p w:rsidR="00774D71" w:rsidRDefault="00774D71" w:rsidP="00282C6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82C6E"/>
    <w:rsid w:val="00282C6E"/>
    <w:rsid w:val="00774D71"/>
    <w:rsid w:val="00B757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7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82C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82C6E"/>
    <w:rPr>
      <w:sz w:val="18"/>
      <w:szCs w:val="18"/>
    </w:rPr>
  </w:style>
  <w:style w:type="paragraph" w:styleId="a4">
    <w:name w:val="footer"/>
    <w:basedOn w:val="a"/>
    <w:link w:val="Char0"/>
    <w:uiPriority w:val="99"/>
    <w:semiHidden/>
    <w:unhideWhenUsed/>
    <w:rsid w:val="00282C6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82C6E"/>
    <w:rPr>
      <w:sz w:val="18"/>
      <w:szCs w:val="18"/>
    </w:rPr>
  </w:style>
  <w:style w:type="paragraph" w:styleId="a5">
    <w:name w:val="Normal (Web)"/>
    <w:basedOn w:val="a"/>
    <w:uiPriority w:val="99"/>
    <w:semiHidden/>
    <w:unhideWhenUsed/>
    <w:rsid w:val="00282C6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82C6E"/>
    <w:rPr>
      <w:b/>
      <w:bCs/>
    </w:rPr>
  </w:style>
</w:styles>
</file>

<file path=word/webSettings.xml><?xml version="1.0" encoding="utf-8"?>
<w:webSettings xmlns:r="http://schemas.openxmlformats.org/officeDocument/2006/relationships" xmlns:w="http://schemas.openxmlformats.org/wordprocessingml/2006/main">
  <w:divs>
    <w:div w:id="804466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3772</Words>
  <Characters>21507</Characters>
  <Application>Microsoft Office Word</Application>
  <DocSecurity>0</DocSecurity>
  <Lines>179</Lines>
  <Paragraphs>50</Paragraphs>
  <ScaleCrop>false</ScaleCrop>
  <Company/>
  <LinksUpToDate>false</LinksUpToDate>
  <CharactersWithSpaces>25229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2013-09-11T03:15:00Z</dcterms:created>
  <dcterms:modified xsi:type="dcterms:W3CDTF">2013-09-11T03:15:00Z</dcterms:modified>
</cp:coreProperties>
</file>