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670" w:type="dxa"/>
        <w:jc w:val="center"/>
        <w:tblCellSpacing w:w="0" w:type="dxa"/>
        <w:tblCellMar>
          <w:left w:w="0" w:type="dxa"/>
          <w:right w:w="0" w:type="dxa"/>
        </w:tblCellMar>
        <w:tblLook w:val="04A0"/>
      </w:tblPr>
      <w:tblGrid>
        <w:gridCol w:w="11670"/>
      </w:tblGrid>
      <w:tr w:rsidR="00900FC4" w:rsidRPr="00900FC4" w:rsidTr="00900FC4">
        <w:trPr>
          <w:trHeight w:val="90"/>
          <w:tblCellSpacing w:w="0" w:type="dxa"/>
          <w:jc w:val="center"/>
        </w:trPr>
        <w:tc>
          <w:tcPr>
            <w:tcW w:w="0" w:type="auto"/>
            <w:vAlign w:val="center"/>
            <w:hideMark/>
          </w:tcPr>
          <w:p w:rsidR="00900FC4" w:rsidRPr="00900FC4" w:rsidRDefault="00900FC4" w:rsidP="00900FC4">
            <w:pPr>
              <w:widowControl/>
              <w:jc w:val="left"/>
              <w:rPr>
                <w:rFonts w:ascii="ˎ̥" w:eastAsia="宋体" w:hAnsi="ˎ̥" w:cs="宋体"/>
                <w:color w:val="000000"/>
                <w:kern w:val="0"/>
                <w:sz w:val="10"/>
                <w:szCs w:val="20"/>
              </w:rPr>
            </w:pPr>
          </w:p>
        </w:tc>
      </w:tr>
      <w:tr w:rsidR="00900FC4" w:rsidRPr="00900FC4" w:rsidTr="00900FC4">
        <w:trPr>
          <w:tblCellSpacing w:w="0" w:type="dxa"/>
          <w:jc w:val="center"/>
        </w:trPr>
        <w:tc>
          <w:tcPr>
            <w:tcW w:w="0" w:type="auto"/>
            <w:tcMar>
              <w:top w:w="90" w:type="dxa"/>
              <w:left w:w="0" w:type="dxa"/>
              <w:bottom w:w="90" w:type="dxa"/>
              <w:right w:w="0" w:type="dxa"/>
            </w:tcMar>
            <w:hideMark/>
          </w:tcPr>
          <w:tbl>
            <w:tblPr>
              <w:tblW w:w="4500" w:type="pct"/>
              <w:jc w:val="center"/>
              <w:tblCellSpacing w:w="0" w:type="dxa"/>
              <w:tblCellMar>
                <w:left w:w="0" w:type="dxa"/>
                <w:right w:w="0" w:type="dxa"/>
              </w:tblCellMar>
              <w:tblLook w:val="04A0"/>
            </w:tblPr>
            <w:tblGrid>
              <w:gridCol w:w="10503"/>
            </w:tblGrid>
            <w:tr w:rsidR="00900FC4" w:rsidRPr="00900FC4">
              <w:trPr>
                <w:tblCellSpacing w:w="0" w:type="dxa"/>
                <w:jc w:val="center"/>
              </w:trPr>
              <w:tc>
                <w:tcPr>
                  <w:tcW w:w="0" w:type="auto"/>
                  <w:vAlign w:val="center"/>
                  <w:hideMark/>
                </w:tcPr>
                <w:tbl>
                  <w:tblPr>
                    <w:tblW w:w="0" w:type="auto"/>
                    <w:jc w:val="center"/>
                    <w:tblCellSpacing w:w="0" w:type="dxa"/>
                    <w:tblCellMar>
                      <w:left w:w="0" w:type="dxa"/>
                      <w:right w:w="0" w:type="dxa"/>
                    </w:tblCellMar>
                    <w:tblLook w:val="04A0"/>
                  </w:tblPr>
                  <w:tblGrid>
                    <w:gridCol w:w="10503"/>
                  </w:tblGrid>
                  <w:tr w:rsidR="00900FC4" w:rsidRPr="00900FC4">
                    <w:trPr>
                      <w:tblCellSpacing w:w="0" w:type="dxa"/>
                      <w:jc w:val="center"/>
                    </w:trPr>
                    <w:tc>
                      <w:tcPr>
                        <w:tcW w:w="0" w:type="auto"/>
                        <w:vAlign w:val="center"/>
                        <w:hideMark/>
                      </w:tcPr>
                      <w:p w:rsidR="00900FC4" w:rsidRPr="00900FC4" w:rsidRDefault="00900FC4" w:rsidP="00900FC4">
                        <w:pPr>
                          <w:widowControl/>
                          <w:spacing w:line="480" w:lineRule="auto"/>
                          <w:jc w:val="center"/>
                          <w:rPr>
                            <w:rFonts w:ascii="ˎ̥" w:eastAsia="宋体" w:hAnsi="ˎ̥" w:cs="宋体"/>
                            <w:color w:val="000000"/>
                            <w:kern w:val="0"/>
                            <w:sz w:val="23"/>
                            <w:szCs w:val="23"/>
                          </w:rPr>
                        </w:pPr>
                        <w:r>
                          <w:rPr>
                            <w:rFonts w:ascii="ˎ̥" w:eastAsia="宋体" w:hAnsi="ˎ̥" w:cs="宋体" w:hint="eastAsia"/>
                            <w:noProof/>
                            <w:color w:val="000000"/>
                            <w:kern w:val="0"/>
                            <w:sz w:val="23"/>
                            <w:szCs w:val="23"/>
                          </w:rPr>
                          <w:drawing>
                            <wp:inline distT="0" distB="0" distL="0" distR="0">
                              <wp:extent cx="5143500" cy="742950"/>
                              <wp:effectExtent l="19050" t="0" r="0" b="0"/>
                              <wp:docPr id="6" name="图片 6" descr="http://www.sdpc.gov.cn/zcfb/zcfbtz/2012tz/W020120604540633001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dpc.gov.cn/zcfb/zcfbtz/2012tz/W020120604540633001177.gif"/>
                                      <pic:cNvPicPr>
                                        <a:picLocks noChangeAspect="1" noChangeArrowheads="1"/>
                                      </pic:cNvPicPr>
                                    </pic:nvPicPr>
                                    <pic:blipFill>
                                      <a:blip r:embed="rId4" cstate="print"/>
                                      <a:srcRect/>
                                      <a:stretch>
                                        <a:fillRect/>
                                      </a:stretch>
                                    </pic:blipFill>
                                    <pic:spPr bwMode="auto">
                                      <a:xfrm>
                                        <a:off x="0" y="0"/>
                                        <a:ext cx="5143500" cy="742950"/>
                                      </a:xfrm>
                                      <a:prstGeom prst="rect">
                                        <a:avLst/>
                                      </a:prstGeom>
                                      <a:noFill/>
                                      <a:ln w="9525">
                                        <a:noFill/>
                                        <a:miter lim="800000"/>
                                        <a:headEnd/>
                                        <a:tailEnd/>
                                      </a:ln>
                                    </pic:spPr>
                                  </pic:pic>
                                </a:graphicData>
                              </a:graphic>
                            </wp:inline>
                          </w:drawing>
                        </w:r>
                      </w:p>
                      <w:p w:rsidR="00900FC4" w:rsidRPr="00900FC4" w:rsidRDefault="00900FC4" w:rsidP="00900FC4">
                        <w:pPr>
                          <w:widowControl/>
                          <w:spacing w:line="480" w:lineRule="auto"/>
                          <w:jc w:val="center"/>
                          <w:rPr>
                            <w:rFonts w:ascii="ˎ̥" w:eastAsia="宋体" w:hAnsi="ˎ̥" w:cs="宋体"/>
                            <w:color w:val="000000"/>
                            <w:kern w:val="0"/>
                            <w:sz w:val="23"/>
                            <w:szCs w:val="23"/>
                          </w:rPr>
                        </w:pPr>
                        <w:proofErr w:type="gramStart"/>
                        <w:r w:rsidRPr="00900FC4">
                          <w:rPr>
                            <w:rFonts w:ascii="ˎ̥" w:eastAsia="宋体" w:hAnsi="ˎ̥" w:cs="宋体"/>
                            <w:color w:val="000000"/>
                            <w:kern w:val="0"/>
                            <w:sz w:val="23"/>
                            <w:szCs w:val="23"/>
                          </w:rPr>
                          <w:t>发改投资</w:t>
                        </w:r>
                        <w:proofErr w:type="gramEnd"/>
                        <w:r w:rsidRPr="00900FC4">
                          <w:rPr>
                            <w:rFonts w:ascii="ˎ̥" w:eastAsia="宋体" w:hAnsi="ˎ̥" w:cs="宋体"/>
                            <w:color w:val="000000"/>
                            <w:kern w:val="0"/>
                            <w:sz w:val="23"/>
                            <w:szCs w:val="23"/>
                          </w:rPr>
                          <w:t>[2012]1546</w:t>
                        </w:r>
                        <w:r w:rsidRPr="00900FC4">
                          <w:rPr>
                            <w:rFonts w:ascii="ˎ̥" w:eastAsia="宋体" w:hAnsi="ˎ̥" w:cs="宋体"/>
                            <w:color w:val="000000"/>
                            <w:kern w:val="0"/>
                            <w:sz w:val="23"/>
                            <w:szCs w:val="23"/>
                          </w:rPr>
                          <w:t>号</w:t>
                        </w:r>
                      </w:p>
                      <w:p w:rsidR="00900FC4" w:rsidRPr="00900FC4" w:rsidRDefault="00900FC4" w:rsidP="00900FC4">
                        <w:pPr>
                          <w:widowControl/>
                          <w:spacing w:line="480" w:lineRule="auto"/>
                          <w:jc w:val="left"/>
                          <w:rPr>
                            <w:rFonts w:ascii="ˎ̥" w:eastAsia="宋体" w:hAnsi="ˎ̥" w:cs="宋体"/>
                            <w:color w:val="000000"/>
                            <w:kern w:val="0"/>
                            <w:sz w:val="23"/>
                            <w:szCs w:val="23"/>
                          </w:rPr>
                        </w:pPr>
                        <w:r w:rsidRPr="00900FC4">
                          <w:rPr>
                            <w:rFonts w:ascii="ˎ̥" w:eastAsia="宋体" w:hAnsi="ˎ̥" w:cs="宋体"/>
                            <w:color w:val="000000"/>
                            <w:kern w:val="0"/>
                            <w:sz w:val="23"/>
                            <w:szCs w:val="23"/>
                          </w:rPr>
                          <w:pict>
                            <v:rect id="_x0000_i1025" style="width:0;height:1.5pt" o:hralign="center" o:hrstd="t" o:hrnoshade="t" o:hr="t" fillcolor="red" stroked="f"/>
                          </w:pict>
                        </w:r>
                      </w:p>
                      <w:p w:rsidR="00900FC4" w:rsidRPr="00900FC4" w:rsidRDefault="00900FC4" w:rsidP="00900FC4">
                        <w:pPr>
                          <w:widowControl/>
                          <w:spacing w:line="480" w:lineRule="auto"/>
                          <w:jc w:val="center"/>
                          <w:rPr>
                            <w:rFonts w:ascii="ˎ̥" w:eastAsia="宋体" w:hAnsi="ˎ̥" w:cs="宋体"/>
                            <w:b/>
                            <w:bCs/>
                            <w:kern w:val="0"/>
                            <w:sz w:val="36"/>
                            <w:szCs w:val="36"/>
                          </w:rPr>
                        </w:pPr>
                        <w:r w:rsidRPr="00900FC4">
                          <w:rPr>
                            <w:rFonts w:ascii="ˎ̥" w:eastAsia="宋体" w:hAnsi="ˎ̥" w:cs="宋体"/>
                            <w:b/>
                            <w:bCs/>
                            <w:color w:val="000000"/>
                            <w:kern w:val="0"/>
                            <w:sz w:val="36"/>
                          </w:rPr>
                          <w:t> </w:t>
                        </w:r>
                      </w:p>
                      <w:p w:rsidR="00900FC4" w:rsidRPr="00900FC4" w:rsidRDefault="00900FC4" w:rsidP="00900FC4">
                        <w:pPr>
                          <w:widowControl/>
                          <w:spacing w:line="480" w:lineRule="auto"/>
                          <w:jc w:val="center"/>
                          <w:rPr>
                            <w:rFonts w:ascii="ˎ̥" w:eastAsia="宋体" w:hAnsi="ˎ̥" w:cs="宋体"/>
                            <w:kern w:val="0"/>
                            <w:sz w:val="24"/>
                            <w:szCs w:val="24"/>
                          </w:rPr>
                        </w:pPr>
                        <w:r w:rsidRPr="00900FC4">
                          <w:rPr>
                            <w:rFonts w:ascii="ˎ̥" w:eastAsia="宋体" w:hAnsi="ˎ̥" w:cs="宋体"/>
                            <w:b/>
                            <w:bCs/>
                            <w:color w:val="000000"/>
                            <w:kern w:val="0"/>
                            <w:sz w:val="36"/>
                          </w:rPr>
                          <w:t>国家发展改革委关于鼓励和引导工程咨询机构</w:t>
                        </w:r>
                      </w:p>
                      <w:p w:rsidR="00900FC4" w:rsidRPr="00900FC4" w:rsidRDefault="00900FC4" w:rsidP="00900FC4">
                        <w:pPr>
                          <w:widowControl/>
                          <w:spacing w:line="480" w:lineRule="auto"/>
                          <w:jc w:val="center"/>
                          <w:rPr>
                            <w:rFonts w:ascii="ˎ̥" w:eastAsia="宋体" w:hAnsi="ˎ̥" w:cs="宋体"/>
                            <w:b/>
                            <w:bCs/>
                            <w:color w:val="000000"/>
                            <w:kern w:val="0"/>
                            <w:sz w:val="36"/>
                            <w:szCs w:val="36"/>
                          </w:rPr>
                        </w:pPr>
                        <w:r w:rsidRPr="00900FC4">
                          <w:rPr>
                            <w:rFonts w:ascii="ˎ̥" w:eastAsia="宋体" w:hAnsi="ˎ̥" w:cs="宋体"/>
                            <w:b/>
                            <w:bCs/>
                            <w:color w:val="000000"/>
                            <w:kern w:val="0"/>
                            <w:sz w:val="36"/>
                          </w:rPr>
                          <w:t>服务民间投资的实施意见</w:t>
                        </w:r>
                      </w:p>
                      <w:p w:rsidR="00900FC4" w:rsidRPr="00900FC4" w:rsidRDefault="00900FC4" w:rsidP="00900FC4">
                        <w:pPr>
                          <w:widowControl/>
                          <w:spacing w:line="480" w:lineRule="auto"/>
                          <w:jc w:val="left"/>
                          <w:rPr>
                            <w:rFonts w:ascii="ˎ̥" w:eastAsia="宋体" w:hAnsi="ˎ̥" w:cs="宋体"/>
                            <w:color w:val="000000"/>
                            <w:kern w:val="0"/>
                            <w:sz w:val="23"/>
                            <w:szCs w:val="23"/>
                          </w:rPr>
                        </w:pPr>
                        <w:r w:rsidRPr="00900FC4">
                          <w:rPr>
                            <w:rFonts w:ascii="ˎ̥" w:eastAsia="宋体" w:hAnsi="ˎ̥" w:cs="宋体"/>
                            <w:color w:val="000000"/>
                            <w:kern w:val="0"/>
                            <w:sz w:val="23"/>
                            <w:szCs w:val="23"/>
                          </w:rPr>
                          <w:t> </w:t>
                        </w:r>
                      </w:p>
                      <w:p w:rsidR="00900FC4" w:rsidRPr="00900FC4" w:rsidRDefault="00900FC4" w:rsidP="00900FC4">
                        <w:pPr>
                          <w:widowControl/>
                          <w:spacing w:line="480" w:lineRule="auto"/>
                          <w:jc w:val="left"/>
                          <w:rPr>
                            <w:rFonts w:ascii="ˎ̥" w:eastAsia="宋体" w:hAnsi="ˎ̥" w:cs="宋体"/>
                            <w:color w:val="000000"/>
                            <w:kern w:val="0"/>
                            <w:sz w:val="23"/>
                            <w:szCs w:val="23"/>
                          </w:rPr>
                        </w:pPr>
                        <w:r w:rsidRPr="00900FC4">
                          <w:rPr>
                            <w:rFonts w:ascii="ˎ̥" w:eastAsia="宋体" w:hAnsi="ˎ̥" w:cs="宋体"/>
                            <w:color w:val="000000"/>
                            <w:kern w:val="0"/>
                            <w:sz w:val="23"/>
                            <w:szCs w:val="23"/>
                          </w:rPr>
                          <w:t> </w:t>
                        </w:r>
                      </w:p>
                      <w:p w:rsidR="00900FC4" w:rsidRPr="00900FC4" w:rsidRDefault="00900FC4" w:rsidP="00900FC4">
                        <w:pPr>
                          <w:widowControl/>
                          <w:spacing w:line="480" w:lineRule="auto"/>
                          <w:jc w:val="left"/>
                          <w:rPr>
                            <w:rFonts w:ascii="ˎ̥" w:eastAsia="宋体" w:hAnsi="ˎ̥" w:cs="宋体"/>
                            <w:color w:val="000000"/>
                            <w:kern w:val="0"/>
                            <w:sz w:val="23"/>
                            <w:szCs w:val="23"/>
                          </w:rPr>
                        </w:pPr>
                        <w:r w:rsidRPr="00900FC4">
                          <w:rPr>
                            <w:rFonts w:ascii="ˎ̥" w:eastAsia="宋体" w:hAnsi="ˎ̥" w:cs="宋体"/>
                            <w:color w:val="000000"/>
                            <w:kern w:val="0"/>
                            <w:sz w:val="23"/>
                            <w:szCs w:val="23"/>
                          </w:rPr>
                          <w:t>各省、自治区、直辖市及计划单列市、副省级省会城市、新疆生产建设兵团发展改革委，国务院各部委、各直属机构，各中央管理企业：</w:t>
                        </w:r>
                      </w:p>
                      <w:p w:rsidR="00900FC4" w:rsidRPr="00900FC4" w:rsidRDefault="00900FC4" w:rsidP="00900FC4">
                        <w:pPr>
                          <w:widowControl/>
                          <w:spacing w:line="480" w:lineRule="auto"/>
                          <w:jc w:val="left"/>
                          <w:rPr>
                            <w:rFonts w:ascii="ˎ̥" w:eastAsia="宋体" w:hAnsi="ˎ̥" w:cs="宋体"/>
                            <w:color w:val="000000"/>
                            <w:kern w:val="0"/>
                            <w:sz w:val="23"/>
                            <w:szCs w:val="23"/>
                          </w:rPr>
                        </w:pPr>
                        <w:r w:rsidRPr="00900FC4">
                          <w:rPr>
                            <w:rFonts w:ascii="ˎ̥" w:eastAsia="宋体" w:hAnsi="ˎ̥" w:cs="宋体"/>
                            <w:color w:val="000000"/>
                            <w:kern w:val="0"/>
                            <w:sz w:val="23"/>
                            <w:szCs w:val="23"/>
                          </w:rPr>
                          <w:t xml:space="preserve">    </w:t>
                        </w:r>
                        <w:r w:rsidRPr="00900FC4">
                          <w:rPr>
                            <w:rFonts w:ascii="ˎ̥" w:eastAsia="宋体" w:hAnsi="ˎ̥" w:cs="宋体"/>
                            <w:color w:val="000000"/>
                            <w:kern w:val="0"/>
                            <w:sz w:val="23"/>
                            <w:szCs w:val="23"/>
                          </w:rPr>
                          <w:t>为贯彻落实《国务院关于鼓励和引导民间投资健康发展的若干意见》精神，充分发挥工程咨询在扩大和优化民间投资、推进民间投资转型升级等方面的专业化服务作用，调动工程咨询机构为民间投资服务的主动性和积极性，提高民间投资科学决策水平，提升民间投资建设项目的质量和效益，促进民间投资健康发展，提出以下意见：</w:t>
                        </w:r>
                        <w:r w:rsidRPr="00900FC4">
                          <w:rPr>
                            <w:rFonts w:ascii="ˎ̥" w:eastAsia="宋体" w:hAnsi="ˎ̥" w:cs="宋体"/>
                            <w:color w:val="000000"/>
                            <w:kern w:val="0"/>
                            <w:sz w:val="23"/>
                            <w:szCs w:val="23"/>
                          </w:rPr>
                          <w:br/>
                          <w:t xml:space="preserve">    </w:t>
                        </w:r>
                        <w:r w:rsidRPr="00900FC4">
                          <w:rPr>
                            <w:rFonts w:ascii="ˎ̥" w:eastAsia="宋体" w:hAnsi="ˎ̥" w:cs="宋体"/>
                            <w:b/>
                            <w:bCs/>
                            <w:color w:val="000000"/>
                            <w:kern w:val="0"/>
                            <w:sz w:val="23"/>
                          </w:rPr>
                          <w:t>一、充分发挥工程咨询在服务民间投资中的重要作用</w:t>
                        </w:r>
                        <w:r w:rsidRPr="00900FC4">
                          <w:rPr>
                            <w:rFonts w:ascii="ˎ̥" w:eastAsia="宋体" w:hAnsi="ˎ̥" w:cs="宋体"/>
                            <w:b/>
                            <w:bCs/>
                            <w:color w:val="000000"/>
                            <w:kern w:val="0"/>
                            <w:sz w:val="23"/>
                            <w:szCs w:val="23"/>
                          </w:rPr>
                          <w:br/>
                        </w:r>
                        <w:r w:rsidRPr="00900FC4">
                          <w:rPr>
                            <w:rFonts w:ascii="ˎ̥" w:eastAsia="宋体" w:hAnsi="ˎ̥" w:cs="宋体"/>
                            <w:color w:val="000000"/>
                            <w:kern w:val="0"/>
                            <w:sz w:val="23"/>
                            <w:szCs w:val="23"/>
                          </w:rPr>
                          <w:t xml:space="preserve">    </w:t>
                        </w:r>
                        <w:r w:rsidRPr="00900FC4">
                          <w:rPr>
                            <w:rFonts w:ascii="ˎ̥" w:eastAsia="宋体" w:hAnsi="ˎ̥" w:cs="宋体"/>
                            <w:color w:val="000000"/>
                            <w:kern w:val="0"/>
                            <w:sz w:val="23"/>
                            <w:szCs w:val="23"/>
                          </w:rPr>
                          <w:t>工程咨询是以技术为基础，综合运用多学科知识、工程实践经验、现代科学和管理方法，为经济社会发展、投资建设项目决策与实施全过程提供咨询和管理的智力服务。鼓励和引导工程咨询机构为民间投资服务，有利于促进民间投资者及时准确了解国家政策，把握投资方向和投资机遇，获得高质量的专业技术支持；有利于提高民间投资决策的科学化水平，有效规避投资风险，确保投资建设项目的高质量和</w:t>
                        </w:r>
                        <w:proofErr w:type="gramStart"/>
                        <w:r w:rsidRPr="00900FC4">
                          <w:rPr>
                            <w:rFonts w:ascii="ˎ̥" w:eastAsia="宋体" w:hAnsi="ˎ̥" w:cs="宋体"/>
                            <w:color w:val="000000"/>
                            <w:kern w:val="0"/>
                            <w:sz w:val="23"/>
                            <w:szCs w:val="23"/>
                          </w:rPr>
                          <w:t>可</w:t>
                        </w:r>
                        <w:proofErr w:type="gramEnd"/>
                        <w:r w:rsidRPr="00900FC4">
                          <w:rPr>
                            <w:rFonts w:ascii="ˎ̥" w:eastAsia="宋体" w:hAnsi="ˎ̥" w:cs="宋体"/>
                            <w:color w:val="000000"/>
                            <w:kern w:val="0"/>
                            <w:sz w:val="23"/>
                            <w:szCs w:val="23"/>
                          </w:rPr>
                          <w:t>持续，实现经济、社会、环境等方面协调发展；有利于引导民间资本进入国家鼓励和引导的产业和服务领域，优</w:t>
                        </w:r>
                        <w:r w:rsidRPr="00900FC4">
                          <w:rPr>
                            <w:rFonts w:ascii="ˎ̥" w:eastAsia="宋体" w:hAnsi="ˎ̥" w:cs="宋体"/>
                            <w:color w:val="000000"/>
                            <w:kern w:val="0"/>
                            <w:sz w:val="23"/>
                            <w:szCs w:val="23"/>
                          </w:rPr>
                          <w:lastRenderedPageBreak/>
                          <w:t>化社会资源配置，推动产业结构优化调整，加强和改善宏观调控。</w:t>
                        </w:r>
                        <w:r w:rsidRPr="00900FC4">
                          <w:rPr>
                            <w:rFonts w:ascii="ˎ̥" w:eastAsia="宋体" w:hAnsi="ˎ̥" w:cs="宋体"/>
                            <w:color w:val="000000"/>
                            <w:kern w:val="0"/>
                            <w:sz w:val="23"/>
                            <w:szCs w:val="23"/>
                          </w:rPr>
                          <w:br/>
                          <w:t xml:space="preserve">    </w:t>
                        </w:r>
                        <w:r w:rsidRPr="00900FC4">
                          <w:rPr>
                            <w:rFonts w:ascii="ˎ̥" w:eastAsia="宋体" w:hAnsi="ˎ̥" w:cs="宋体"/>
                            <w:b/>
                            <w:bCs/>
                            <w:color w:val="000000"/>
                            <w:kern w:val="0"/>
                            <w:sz w:val="23"/>
                          </w:rPr>
                          <w:t>二、工程咨询机构服务民间投资的重点领域</w:t>
                        </w:r>
                        <w:r w:rsidRPr="00900FC4">
                          <w:rPr>
                            <w:rFonts w:ascii="ˎ̥" w:eastAsia="宋体" w:hAnsi="ˎ̥" w:cs="宋体"/>
                            <w:b/>
                            <w:bCs/>
                            <w:color w:val="000000"/>
                            <w:kern w:val="0"/>
                            <w:sz w:val="23"/>
                            <w:szCs w:val="23"/>
                          </w:rPr>
                          <w:br/>
                        </w:r>
                        <w:r w:rsidRPr="00900FC4">
                          <w:rPr>
                            <w:rFonts w:ascii="ˎ̥" w:eastAsia="宋体" w:hAnsi="ˎ̥" w:cs="宋体"/>
                            <w:color w:val="000000"/>
                            <w:kern w:val="0"/>
                            <w:sz w:val="23"/>
                            <w:szCs w:val="23"/>
                          </w:rPr>
                          <w:t xml:space="preserve">    </w:t>
                        </w:r>
                        <w:r w:rsidRPr="00900FC4">
                          <w:rPr>
                            <w:rFonts w:ascii="ˎ̥" w:eastAsia="宋体" w:hAnsi="ˎ̥" w:cs="宋体"/>
                            <w:color w:val="000000"/>
                            <w:kern w:val="0"/>
                            <w:sz w:val="23"/>
                            <w:szCs w:val="23"/>
                          </w:rPr>
                          <w:t>按照《国务院关于鼓励和引导民间投资健康发展的若干意见》要求，工程咨询机构重点对民间资本进入基础产业、基础设施、市政公用事业、政策性住房建设、社会事业、商贸流通、国防科技工业等重点领域以及民间资本重组联合和参与国有企业改革、民营企业加强自主创新和转型升级、民营企业积极参与国际竞争等重大事项提供全过程、全方位的工程咨询服务。</w:t>
                        </w:r>
                        <w:r w:rsidRPr="00900FC4">
                          <w:rPr>
                            <w:rFonts w:ascii="ˎ̥" w:eastAsia="宋体" w:hAnsi="ˎ̥" w:cs="宋体"/>
                            <w:color w:val="000000"/>
                            <w:kern w:val="0"/>
                            <w:sz w:val="23"/>
                            <w:szCs w:val="23"/>
                          </w:rPr>
                          <w:br/>
                          <w:t>   </w:t>
                        </w:r>
                        <w:r w:rsidRPr="00900FC4">
                          <w:rPr>
                            <w:rFonts w:ascii="ˎ̥" w:eastAsia="宋体" w:hAnsi="ˎ̥" w:cs="宋体"/>
                            <w:b/>
                            <w:bCs/>
                            <w:color w:val="000000"/>
                            <w:kern w:val="0"/>
                            <w:sz w:val="23"/>
                          </w:rPr>
                          <w:t xml:space="preserve"> </w:t>
                        </w:r>
                        <w:r w:rsidRPr="00900FC4">
                          <w:rPr>
                            <w:rFonts w:ascii="ˎ̥" w:eastAsia="宋体" w:hAnsi="ˎ̥" w:cs="宋体"/>
                            <w:b/>
                            <w:bCs/>
                            <w:color w:val="000000"/>
                            <w:kern w:val="0"/>
                            <w:sz w:val="23"/>
                          </w:rPr>
                          <w:t>三、根据民间投资的特点和需求提供高效的工程咨询服务</w:t>
                        </w:r>
                        <w:r w:rsidRPr="00900FC4">
                          <w:rPr>
                            <w:rFonts w:ascii="ˎ̥" w:eastAsia="宋体" w:hAnsi="ˎ̥" w:cs="宋体"/>
                            <w:b/>
                            <w:bCs/>
                            <w:color w:val="000000"/>
                            <w:kern w:val="0"/>
                            <w:sz w:val="23"/>
                            <w:szCs w:val="23"/>
                          </w:rPr>
                          <w:br/>
                        </w:r>
                        <w:r w:rsidRPr="00900FC4">
                          <w:rPr>
                            <w:rFonts w:ascii="ˎ̥" w:eastAsia="宋体" w:hAnsi="ˎ̥" w:cs="宋体"/>
                            <w:color w:val="000000"/>
                            <w:kern w:val="0"/>
                            <w:sz w:val="23"/>
                            <w:szCs w:val="23"/>
                          </w:rPr>
                          <w:t xml:space="preserve">    </w:t>
                        </w:r>
                        <w:r w:rsidRPr="00900FC4">
                          <w:rPr>
                            <w:rFonts w:ascii="ˎ̥" w:eastAsia="宋体" w:hAnsi="ˎ̥" w:cs="宋体"/>
                            <w:color w:val="000000"/>
                            <w:kern w:val="0"/>
                            <w:sz w:val="23"/>
                            <w:szCs w:val="23"/>
                          </w:rPr>
                          <w:t>（一）强化投资机会研究。工程咨询机构要根据民间投资的利益诉求和目标取向，帮助民间投资者优化选择投资项目，加强相关政策咨询，合理引导民间投资的投向。</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（二）加强决策咨询服务。工程咨询机构应注重决策咨询研究的广度和深度，切实按照</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独立、公正、科学</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的服务宗旨，为民间投资提供可行性研究、融资咨询等决策阶段的咨询服务，并加大对民间投资项目涉及经济安全、公共利益、社会稳定等方面的咨询服务力度。</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三）提供全过程的工程咨询服务。鼓励民间投资者以全过程管理方式选择工程咨询服务。工程咨询机构要按照民间投资者的需求，对民间投资的项目策划、融资方案、风险管理、经营方式、可持续发展等方面提供包括决策、准备、实施、运营在内的全过程工程咨询服务。</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四）开展新领域业务咨询。工程咨询机构应拓展民间投资者关注的统筹城乡、新兴产业、资源能源综合利用及环境保护与生态建设等领域的发展方向研究、投资机会研究、工程风险评估咨询、工程合同纠纷调解等新领域业务，为民间投资者提供多层次、全方位、专业化的特色服务。</w:t>
                        </w:r>
                        <w:r w:rsidRPr="00900FC4">
                          <w:rPr>
                            <w:rFonts w:ascii="ˎ̥" w:eastAsia="宋体" w:hAnsi="ˎ̥" w:cs="宋体"/>
                            <w:color w:val="000000"/>
                            <w:kern w:val="0"/>
                            <w:sz w:val="23"/>
                            <w:szCs w:val="23"/>
                          </w:rPr>
                          <w:br/>
                          <w:t>   </w:t>
                        </w:r>
                        <w:r w:rsidRPr="00900FC4">
                          <w:rPr>
                            <w:rFonts w:ascii="ˎ̥" w:eastAsia="宋体" w:hAnsi="ˎ̥" w:cs="宋体"/>
                            <w:b/>
                            <w:bCs/>
                            <w:color w:val="000000"/>
                            <w:kern w:val="0"/>
                            <w:sz w:val="23"/>
                          </w:rPr>
                          <w:t xml:space="preserve"> </w:t>
                        </w:r>
                        <w:r w:rsidRPr="00900FC4">
                          <w:rPr>
                            <w:rFonts w:ascii="ˎ̥" w:eastAsia="宋体" w:hAnsi="ˎ̥" w:cs="宋体"/>
                            <w:b/>
                            <w:bCs/>
                            <w:color w:val="000000"/>
                            <w:kern w:val="0"/>
                            <w:sz w:val="23"/>
                          </w:rPr>
                          <w:t>四、大力提高工程咨询服务质量</w:t>
                        </w:r>
                        <w:r w:rsidRPr="00900FC4">
                          <w:rPr>
                            <w:rFonts w:ascii="ˎ̥" w:eastAsia="宋体" w:hAnsi="ˎ̥" w:cs="宋体"/>
                            <w:b/>
                            <w:bCs/>
                            <w:color w:val="000000"/>
                            <w:kern w:val="0"/>
                            <w:sz w:val="23"/>
                            <w:szCs w:val="23"/>
                          </w:rPr>
                          <w:br/>
                        </w:r>
                        <w:r w:rsidRPr="00900FC4">
                          <w:rPr>
                            <w:rFonts w:ascii="ˎ̥" w:eastAsia="宋体" w:hAnsi="ˎ̥" w:cs="宋体"/>
                            <w:color w:val="000000"/>
                            <w:kern w:val="0"/>
                            <w:sz w:val="23"/>
                            <w:szCs w:val="23"/>
                          </w:rPr>
                          <w:t xml:space="preserve">    </w:t>
                        </w:r>
                        <w:r w:rsidRPr="00900FC4">
                          <w:rPr>
                            <w:rFonts w:ascii="ˎ̥" w:eastAsia="宋体" w:hAnsi="ˎ̥" w:cs="宋体"/>
                            <w:color w:val="000000"/>
                            <w:kern w:val="0"/>
                            <w:sz w:val="23"/>
                            <w:szCs w:val="23"/>
                          </w:rPr>
                          <w:t>（一）创新咨询服务理念，增强服务实力。工程咨询机构应不断创新工程咨询理念、理论方法和技术，在继续重视提高民间投资效益、规避投资风险、保障工程质量的同时，必须全面关注经济社会的可持续发展。要增强社会责任感，注重投资建设对所涉及人群的生活、生产、教育、发展等方面所产生的影响；注</w:t>
                        </w:r>
                        <w:r w:rsidRPr="00900FC4">
                          <w:rPr>
                            <w:rFonts w:ascii="ˎ̥" w:eastAsia="宋体" w:hAnsi="ˎ̥" w:cs="宋体"/>
                            <w:color w:val="000000"/>
                            <w:kern w:val="0"/>
                            <w:sz w:val="23"/>
                            <w:szCs w:val="23"/>
                          </w:rPr>
                          <w:lastRenderedPageBreak/>
                          <w:t>重投资建设对转变经济发展方式和促进社会全面进步所产生的影响；注重投资建设对城乡发展、区域发展、经济社会发展、人与自然和谐发展、国内发展和对外开放等方面的影响；注重投资建设中对资源、能源的节约与综合利用以及生态环境承载力等因素的影响。同时，工程咨询机构应加强自身人才培养和实力建设，强化工程咨询机构的廉洁建设、品牌建设和创新能力建设，增强核心竞争力和服务能力。</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（二）根据质量选择工程咨询服务。工程咨询实行有偿服务，按照国家颁布的收费指导价格，收取相应的服务费用。对未明确服务收费指导价格的应制定收费指导价或可根据服务的内容由双方协商确定。</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鼓励民间投资者重视工程咨询服务质量，借鉴国际惯例，根据质量选择工程咨询服务，不将咨询服务价格作为首要选择因素，以提高投资效益。国家法律法规规定必须招标采购工程咨询服务的，民间投资者要依照其规定开展招标采购活动，按照国家有关规定合理支付咨询服务费用。工程咨询机构应树立质量意识和社会责任意识，不得恶意低价竞争，确保工程咨询服务的高质量。</w:t>
                        </w:r>
                        <w:r w:rsidRPr="00900FC4">
                          <w:rPr>
                            <w:rFonts w:ascii="ˎ̥" w:eastAsia="宋体" w:hAnsi="ˎ̥" w:cs="宋体"/>
                            <w:color w:val="000000"/>
                            <w:kern w:val="0"/>
                            <w:sz w:val="23"/>
                            <w:szCs w:val="23"/>
                          </w:rPr>
                          <w:br/>
                          <w:t xml:space="preserve">    </w:t>
                        </w:r>
                        <w:r w:rsidRPr="00900FC4">
                          <w:rPr>
                            <w:rFonts w:ascii="ˎ̥" w:eastAsia="宋体" w:hAnsi="ˎ̥" w:cs="宋体"/>
                            <w:b/>
                            <w:bCs/>
                            <w:color w:val="000000"/>
                            <w:kern w:val="0"/>
                            <w:sz w:val="23"/>
                          </w:rPr>
                          <w:t>五、强化职业道德和职业责任</w:t>
                        </w:r>
                        <w:r w:rsidRPr="00900FC4">
                          <w:rPr>
                            <w:rFonts w:ascii="ˎ̥" w:eastAsia="宋体" w:hAnsi="ˎ̥" w:cs="宋体"/>
                            <w:b/>
                            <w:bCs/>
                            <w:color w:val="000000"/>
                            <w:kern w:val="0"/>
                            <w:sz w:val="23"/>
                            <w:szCs w:val="23"/>
                          </w:rPr>
                          <w:br/>
                        </w:r>
                        <w:r w:rsidRPr="00900FC4">
                          <w:rPr>
                            <w:rFonts w:ascii="ˎ̥" w:eastAsia="宋体" w:hAnsi="ˎ̥" w:cs="宋体"/>
                            <w:color w:val="000000"/>
                            <w:kern w:val="0"/>
                            <w:sz w:val="23"/>
                            <w:szCs w:val="23"/>
                          </w:rPr>
                          <w:t xml:space="preserve">    </w:t>
                        </w:r>
                        <w:r w:rsidRPr="00900FC4">
                          <w:rPr>
                            <w:rFonts w:ascii="ˎ̥" w:eastAsia="宋体" w:hAnsi="ˎ̥" w:cs="宋体"/>
                            <w:color w:val="000000"/>
                            <w:kern w:val="0"/>
                            <w:sz w:val="23"/>
                            <w:szCs w:val="23"/>
                          </w:rPr>
                          <w:t>（一）提高服务意识。工程咨询机构和从业人员在服务民间投资过程中，要增强服务意识，恪守职业道德，加强廉洁自律</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严禁弄虚作假</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树立和维护</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廉洁自律、诚信高效、社会信赖</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的行业形象。</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二）强化职业责任。工程咨询机构应依据规划咨询、投资机会研究、可行性研究、评估咨询、工程勘察设计、招投标咨询、工程和设备监理、工程项目管理等行政许可的工程咨询服务范围，出具咨询文件并承担相应法律责任。工程咨询服务应由注册执业人员主持，注册执业人员按国家有关规定对服务承担相应法律责任。</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三）加强工程咨询服务合同管理。民间投资者和受委托的工程咨询机构应订立书面工程咨询合同，约定各方权利义务并共同遵守。工程咨询合同的内容由当事人参照有关工程咨询合同范本约定。工程咨询合同履行过程中形成的知识产权归属，应在工程咨询合同中进行约定。</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（四）建立职业责任保险制度。推动建立为民间投资服务的风险防范机制，提高工程咨询机构应对风险的能力。鼓励工程咨询机构按照国际惯例，积极参加职业责任保险。</w:t>
                        </w:r>
                        <w:r w:rsidRPr="00900FC4">
                          <w:rPr>
                            <w:rFonts w:ascii="ˎ̥" w:eastAsia="宋体" w:hAnsi="ˎ̥" w:cs="宋体"/>
                            <w:color w:val="000000"/>
                            <w:kern w:val="0"/>
                            <w:sz w:val="23"/>
                            <w:szCs w:val="23"/>
                          </w:rPr>
                          <w:br/>
                        </w:r>
                        <w:r w:rsidRPr="00900FC4">
                          <w:rPr>
                            <w:rFonts w:ascii="ˎ̥" w:eastAsia="宋体" w:hAnsi="ˎ̥" w:cs="宋体"/>
                            <w:color w:val="000000"/>
                            <w:kern w:val="0"/>
                            <w:sz w:val="23"/>
                            <w:szCs w:val="23"/>
                          </w:rPr>
                          <w:lastRenderedPageBreak/>
                          <w:t xml:space="preserve">    </w:t>
                        </w:r>
                        <w:r w:rsidRPr="00900FC4">
                          <w:rPr>
                            <w:rFonts w:ascii="ˎ̥" w:eastAsia="宋体" w:hAnsi="ˎ̥" w:cs="宋体"/>
                            <w:b/>
                            <w:bCs/>
                            <w:color w:val="000000"/>
                            <w:kern w:val="0"/>
                            <w:sz w:val="23"/>
                          </w:rPr>
                          <w:t>六、加大对民间资本</w:t>
                        </w:r>
                        <w:r w:rsidRPr="00900FC4">
                          <w:rPr>
                            <w:rFonts w:ascii="ˎ̥" w:eastAsia="宋体" w:hAnsi="ˎ̥" w:cs="宋体"/>
                            <w:b/>
                            <w:bCs/>
                            <w:color w:val="000000"/>
                            <w:kern w:val="0"/>
                            <w:sz w:val="23"/>
                          </w:rPr>
                          <w:t>“</w:t>
                        </w:r>
                        <w:r w:rsidRPr="00900FC4">
                          <w:rPr>
                            <w:rFonts w:ascii="ˎ̥" w:eastAsia="宋体" w:hAnsi="ˎ̥" w:cs="宋体"/>
                            <w:b/>
                            <w:bCs/>
                            <w:color w:val="000000"/>
                            <w:kern w:val="0"/>
                            <w:sz w:val="23"/>
                          </w:rPr>
                          <w:t>走出去</w:t>
                        </w:r>
                        <w:r w:rsidRPr="00900FC4">
                          <w:rPr>
                            <w:rFonts w:ascii="ˎ̥" w:eastAsia="宋体" w:hAnsi="ˎ̥" w:cs="宋体"/>
                            <w:b/>
                            <w:bCs/>
                            <w:color w:val="000000"/>
                            <w:kern w:val="0"/>
                            <w:sz w:val="23"/>
                          </w:rPr>
                          <w:t>”</w:t>
                        </w:r>
                        <w:r w:rsidRPr="00900FC4">
                          <w:rPr>
                            <w:rFonts w:ascii="ˎ̥" w:eastAsia="宋体" w:hAnsi="ˎ̥" w:cs="宋体"/>
                            <w:b/>
                            <w:bCs/>
                            <w:color w:val="000000"/>
                            <w:kern w:val="0"/>
                            <w:sz w:val="23"/>
                          </w:rPr>
                          <w:t>的服务力度</w:t>
                        </w:r>
                        <w:r w:rsidRPr="00900FC4">
                          <w:rPr>
                            <w:rFonts w:ascii="ˎ̥" w:eastAsia="宋体" w:hAnsi="ˎ̥" w:cs="宋体"/>
                            <w:b/>
                            <w:bCs/>
                            <w:color w:val="000000"/>
                            <w:kern w:val="0"/>
                            <w:sz w:val="23"/>
                          </w:rPr>
                          <w:t> </w:t>
                        </w:r>
                        <w:r w:rsidRPr="00900FC4">
                          <w:rPr>
                            <w:rFonts w:ascii="ˎ̥" w:eastAsia="宋体" w:hAnsi="ˎ̥" w:cs="宋体"/>
                            <w:b/>
                            <w:bCs/>
                            <w:color w:val="000000"/>
                            <w:kern w:val="0"/>
                            <w:sz w:val="23"/>
                            <w:szCs w:val="23"/>
                          </w:rPr>
                          <w:br/>
                        </w:r>
                        <w:r w:rsidRPr="00900FC4">
                          <w:rPr>
                            <w:rFonts w:ascii="ˎ̥" w:eastAsia="宋体" w:hAnsi="ˎ̥" w:cs="宋体"/>
                            <w:color w:val="000000"/>
                            <w:kern w:val="0"/>
                            <w:sz w:val="23"/>
                            <w:szCs w:val="23"/>
                          </w:rPr>
                          <w:t xml:space="preserve">    </w:t>
                        </w:r>
                        <w:r w:rsidRPr="00900FC4">
                          <w:rPr>
                            <w:rFonts w:ascii="ˎ̥" w:eastAsia="宋体" w:hAnsi="ˎ̥" w:cs="宋体"/>
                            <w:color w:val="000000"/>
                            <w:kern w:val="0"/>
                            <w:sz w:val="23"/>
                            <w:szCs w:val="23"/>
                          </w:rPr>
                          <w:t>（一）协助民间资本</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走出去</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根据《境外投资产业指导政策》、《境外投资项目核准暂行管理办法》等政策法规和我国境外投资合作有关管理制度，工程咨询机构为民营企业在研发、生产、营销等方面开展国际化经营、开发战略资源、建立国际销售网络、开拓国际市场提供咨询服务。为民营企业</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走出去</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在资金支持、金融保险、外汇管理、以及境外投资项目的风险评估和风险控制等方面，提供咨询服务，充分利用国家给予的良好投资贸易环境和优惠政策。</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（二）工程咨询机构要加快熟悉国际规则。中国工程咨询协会要继续引进和转化国际咨询工程师联合会（</w:t>
                        </w:r>
                        <w:r w:rsidRPr="00900FC4">
                          <w:rPr>
                            <w:rFonts w:ascii="ˎ̥" w:eastAsia="宋体" w:hAnsi="ˎ̥" w:cs="宋体"/>
                            <w:color w:val="000000"/>
                            <w:kern w:val="0"/>
                            <w:sz w:val="23"/>
                            <w:szCs w:val="23"/>
                          </w:rPr>
                          <w:t>FIDIC</w:t>
                        </w:r>
                        <w:r w:rsidRPr="00900FC4">
                          <w:rPr>
                            <w:rFonts w:ascii="ˎ̥" w:eastAsia="宋体" w:hAnsi="ˎ̥" w:cs="宋体"/>
                            <w:color w:val="000000"/>
                            <w:kern w:val="0"/>
                            <w:sz w:val="23"/>
                            <w:szCs w:val="23"/>
                          </w:rPr>
                          <w:t>）合同条件、工作手册和指南，以及世行、亚行咨询服务指南等规范性文件，推动工程咨询机构加快熟悉国际规则，帮助民间投资者有效参与国际竞争。</w:t>
                        </w:r>
                        <w:r w:rsidRPr="00900FC4">
                          <w:rPr>
                            <w:rFonts w:ascii="ˎ̥" w:eastAsia="宋体" w:hAnsi="ˎ̥" w:cs="宋体"/>
                            <w:color w:val="000000"/>
                            <w:kern w:val="0"/>
                            <w:sz w:val="23"/>
                            <w:szCs w:val="23"/>
                          </w:rPr>
                          <w:t> </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（三）大力加强国际交流与合作。中国工程咨询协会要充分利用与国际咨询工程师联合会（</w:t>
                        </w:r>
                        <w:r w:rsidRPr="00900FC4">
                          <w:rPr>
                            <w:rFonts w:ascii="ˎ̥" w:eastAsia="宋体" w:hAnsi="ˎ̥" w:cs="宋体"/>
                            <w:color w:val="000000"/>
                            <w:kern w:val="0"/>
                            <w:sz w:val="23"/>
                            <w:szCs w:val="23"/>
                          </w:rPr>
                          <w:t>FIDIC</w:t>
                        </w:r>
                        <w:r w:rsidRPr="00900FC4">
                          <w:rPr>
                            <w:rFonts w:ascii="ˎ̥" w:eastAsia="宋体" w:hAnsi="ˎ̥" w:cs="宋体"/>
                            <w:color w:val="000000"/>
                            <w:kern w:val="0"/>
                            <w:sz w:val="23"/>
                            <w:szCs w:val="23"/>
                          </w:rPr>
                          <w:t>）等相关国际组织以及境外工程咨询行业协会交流与合作的有利条件，为民间投资</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走出去</w:t>
                        </w:r>
                        <w:r w:rsidRPr="00900FC4">
                          <w:rPr>
                            <w:rFonts w:ascii="ˎ̥" w:eastAsia="宋体" w:hAnsi="ˎ̥" w:cs="宋体"/>
                            <w:color w:val="000000"/>
                            <w:kern w:val="0"/>
                            <w:sz w:val="23"/>
                            <w:szCs w:val="23"/>
                          </w:rPr>
                          <w:t>”</w:t>
                        </w:r>
                        <w:r w:rsidRPr="00900FC4">
                          <w:rPr>
                            <w:rFonts w:ascii="ˎ̥" w:eastAsia="宋体" w:hAnsi="ˎ̥" w:cs="宋体"/>
                            <w:color w:val="000000"/>
                            <w:kern w:val="0"/>
                            <w:sz w:val="23"/>
                            <w:szCs w:val="23"/>
                          </w:rPr>
                          <w:t>积极推介、协助联系境外有实力的工程咨询机构。</w:t>
                        </w:r>
                        <w:r w:rsidRPr="00900FC4">
                          <w:rPr>
                            <w:rFonts w:ascii="ˎ̥" w:eastAsia="宋体" w:hAnsi="ˎ̥" w:cs="宋体"/>
                            <w:color w:val="000000"/>
                            <w:kern w:val="0"/>
                            <w:sz w:val="23"/>
                            <w:szCs w:val="23"/>
                          </w:rPr>
                          <w:br/>
                          <w:t>   </w:t>
                        </w:r>
                        <w:r w:rsidRPr="00900FC4">
                          <w:rPr>
                            <w:rFonts w:ascii="ˎ̥" w:eastAsia="宋体" w:hAnsi="ˎ̥" w:cs="宋体"/>
                            <w:b/>
                            <w:bCs/>
                            <w:color w:val="000000"/>
                            <w:kern w:val="0"/>
                            <w:sz w:val="23"/>
                          </w:rPr>
                          <w:t xml:space="preserve"> </w:t>
                        </w:r>
                        <w:r w:rsidRPr="00900FC4">
                          <w:rPr>
                            <w:rFonts w:ascii="ˎ̥" w:eastAsia="宋体" w:hAnsi="ˎ̥" w:cs="宋体"/>
                            <w:b/>
                            <w:bCs/>
                            <w:color w:val="000000"/>
                            <w:kern w:val="0"/>
                            <w:sz w:val="23"/>
                          </w:rPr>
                          <w:t>七、鼓励和引导各种类型工程咨询机构平等参与竞争</w:t>
                        </w:r>
                        <w:r w:rsidRPr="00900FC4">
                          <w:rPr>
                            <w:rFonts w:ascii="ˎ̥" w:eastAsia="宋体" w:hAnsi="ˎ̥" w:cs="宋体"/>
                            <w:b/>
                            <w:bCs/>
                            <w:color w:val="000000"/>
                            <w:kern w:val="0"/>
                            <w:sz w:val="23"/>
                            <w:szCs w:val="23"/>
                          </w:rPr>
                          <w:br/>
                        </w:r>
                        <w:r w:rsidRPr="00900FC4">
                          <w:rPr>
                            <w:rFonts w:ascii="ˎ̥" w:eastAsia="宋体" w:hAnsi="ˎ̥" w:cs="宋体"/>
                            <w:color w:val="000000"/>
                            <w:kern w:val="0"/>
                            <w:sz w:val="23"/>
                            <w:szCs w:val="23"/>
                          </w:rPr>
                          <w:t xml:space="preserve">    </w:t>
                        </w:r>
                        <w:r w:rsidRPr="00900FC4">
                          <w:rPr>
                            <w:rFonts w:ascii="ˎ̥" w:eastAsia="宋体" w:hAnsi="ˎ̥" w:cs="宋体"/>
                            <w:color w:val="000000"/>
                            <w:kern w:val="0"/>
                            <w:sz w:val="23"/>
                            <w:szCs w:val="23"/>
                          </w:rPr>
                          <w:t>（一）建立统一开放、平等竞争的工程咨询市场环境。清理和修改阻碍工程咨询市场公平竞争的法规政策规定；打破部门、行业和地方垄断保护；允许民间投资者按市场化机制自主选择有资质的工程咨询机构；强化市场竞争机制，保障各种所有制和法人类型、不同规模的工程咨询机构平等参与竞争。</w:t>
                        </w:r>
                        <w:r w:rsidRPr="00900FC4">
                          <w:rPr>
                            <w:rFonts w:ascii="ˎ̥" w:eastAsia="宋体" w:hAnsi="ˎ̥" w:cs="宋体"/>
                            <w:color w:val="000000"/>
                            <w:kern w:val="0"/>
                            <w:sz w:val="23"/>
                            <w:szCs w:val="23"/>
                          </w:rPr>
                          <w:br/>
                          <w:t xml:space="preserve">    </w:t>
                        </w:r>
                        <w:r w:rsidRPr="00900FC4">
                          <w:rPr>
                            <w:rFonts w:ascii="ˎ̥" w:eastAsia="宋体" w:hAnsi="ˎ̥" w:cs="宋体"/>
                            <w:color w:val="000000"/>
                            <w:kern w:val="0"/>
                            <w:sz w:val="23"/>
                            <w:szCs w:val="23"/>
                          </w:rPr>
                          <w:t>（二）鼓励资源合理整合。鼓励和引导民间资本进入工程咨询行业。鼓励工程咨询机构按照优势互补、资源共享、合作共赢的原则，打破地区、行业、所有制限制，采取战略联盟、合资合作、并购重组等多种形式整合资源，为民间投资提供全过程的优质、高效咨询服务。</w:t>
                        </w:r>
                      </w:p>
                      <w:p w:rsidR="00900FC4" w:rsidRPr="00900FC4" w:rsidRDefault="00900FC4" w:rsidP="00900FC4">
                        <w:pPr>
                          <w:widowControl/>
                          <w:spacing w:line="480" w:lineRule="auto"/>
                          <w:jc w:val="center"/>
                          <w:rPr>
                            <w:rFonts w:ascii="ˎ̥" w:eastAsia="宋体" w:hAnsi="ˎ̥" w:cs="宋体"/>
                            <w:color w:val="000000"/>
                            <w:kern w:val="0"/>
                            <w:sz w:val="23"/>
                            <w:szCs w:val="23"/>
                          </w:rPr>
                        </w:pPr>
                        <w:r w:rsidRPr="00900FC4">
                          <w:rPr>
                            <w:rFonts w:ascii="ˎ̥" w:eastAsia="宋体" w:hAnsi="ˎ̥" w:cs="宋体"/>
                            <w:color w:val="000000"/>
                            <w:kern w:val="0"/>
                            <w:sz w:val="23"/>
                            <w:szCs w:val="23"/>
                          </w:rPr>
                          <w:br/>
                        </w:r>
                        <w:r w:rsidRPr="00900FC4">
                          <w:rPr>
                            <w:rFonts w:ascii="ˎ̥" w:eastAsia="宋体" w:hAnsi="ˎ̥" w:cs="宋体"/>
                            <w:color w:val="000000"/>
                            <w:kern w:val="0"/>
                            <w:sz w:val="23"/>
                            <w:szCs w:val="23"/>
                          </w:rPr>
                          <w:t>国家发展改革委</w:t>
                        </w:r>
                      </w:p>
                      <w:p w:rsidR="00900FC4" w:rsidRPr="00900FC4" w:rsidRDefault="00900FC4" w:rsidP="00900FC4">
                        <w:pPr>
                          <w:widowControl/>
                          <w:spacing w:line="480" w:lineRule="auto"/>
                          <w:jc w:val="center"/>
                          <w:rPr>
                            <w:rFonts w:ascii="ˎ̥" w:eastAsia="宋体" w:hAnsi="ˎ̥" w:cs="宋体"/>
                            <w:color w:val="000000"/>
                            <w:kern w:val="0"/>
                            <w:sz w:val="23"/>
                            <w:szCs w:val="23"/>
                          </w:rPr>
                        </w:pPr>
                        <w:r w:rsidRPr="00900FC4">
                          <w:rPr>
                            <w:rFonts w:ascii="ˎ̥" w:eastAsia="宋体" w:hAnsi="ˎ̥" w:cs="宋体"/>
                            <w:color w:val="000000"/>
                            <w:kern w:val="0"/>
                            <w:sz w:val="23"/>
                            <w:szCs w:val="23"/>
                          </w:rPr>
                          <w:t>二〇一二年五月三十一日</w:t>
                        </w:r>
                      </w:p>
                    </w:tc>
                  </w:tr>
                </w:tbl>
                <w:p w:rsidR="00900FC4" w:rsidRPr="00900FC4" w:rsidRDefault="00900FC4" w:rsidP="00900FC4">
                  <w:pPr>
                    <w:widowControl/>
                    <w:jc w:val="left"/>
                    <w:rPr>
                      <w:rFonts w:ascii="ˎ̥" w:eastAsia="宋体" w:hAnsi="ˎ̥" w:cs="宋体"/>
                      <w:color w:val="000000"/>
                      <w:kern w:val="0"/>
                      <w:sz w:val="20"/>
                      <w:szCs w:val="20"/>
                    </w:rPr>
                  </w:pPr>
                </w:p>
              </w:tc>
            </w:tr>
          </w:tbl>
          <w:p w:rsidR="00900FC4" w:rsidRPr="00900FC4" w:rsidRDefault="00900FC4" w:rsidP="00900FC4">
            <w:pPr>
              <w:widowControl/>
              <w:jc w:val="center"/>
              <w:rPr>
                <w:rFonts w:ascii="ˎ̥" w:eastAsia="宋体" w:hAnsi="ˎ̥" w:cs="宋体"/>
                <w:color w:val="000000"/>
                <w:kern w:val="0"/>
                <w:sz w:val="20"/>
                <w:szCs w:val="20"/>
              </w:rPr>
            </w:pPr>
          </w:p>
        </w:tc>
      </w:tr>
    </w:tbl>
    <w:p w:rsidR="00E74EA6" w:rsidRPr="00900FC4" w:rsidRDefault="00E74EA6" w:rsidP="00900FC4"/>
    <w:sectPr w:rsidR="00E74EA6" w:rsidRPr="00900FC4" w:rsidSect="00E74E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F53B0"/>
    <w:rsid w:val="00047431"/>
    <w:rsid w:val="007F53B0"/>
    <w:rsid w:val="00900FC4"/>
    <w:rsid w:val="00E74E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4EA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00FC4"/>
    <w:pPr>
      <w:widowControl/>
      <w:spacing w:before="100" w:beforeAutospacing="1" w:after="100" w:afterAutospacing="1"/>
      <w:jc w:val="left"/>
    </w:pPr>
    <w:rPr>
      <w:rFonts w:ascii="ˎ̥" w:eastAsia="宋体" w:hAnsi="ˎ̥" w:cs="宋体"/>
      <w:kern w:val="0"/>
      <w:sz w:val="24"/>
      <w:szCs w:val="24"/>
    </w:rPr>
  </w:style>
  <w:style w:type="character" w:styleId="a4">
    <w:name w:val="Strong"/>
    <w:basedOn w:val="a0"/>
    <w:uiPriority w:val="22"/>
    <w:qFormat/>
    <w:rsid w:val="00900FC4"/>
    <w:rPr>
      <w:b/>
      <w:bCs/>
    </w:rPr>
  </w:style>
  <w:style w:type="paragraph" w:styleId="a5">
    <w:name w:val="Balloon Text"/>
    <w:basedOn w:val="a"/>
    <w:link w:val="Char"/>
    <w:uiPriority w:val="99"/>
    <w:semiHidden/>
    <w:unhideWhenUsed/>
    <w:rsid w:val="00900FC4"/>
    <w:rPr>
      <w:sz w:val="18"/>
      <w:szCs w:val="18"/>
    </w:rPr>
  </w:style>
  <w:style w:type="character" w:customStyle="1" w:styleId="Char">
    <w:name w:val="批注框文本 Char"/>
    <w:basedOn w:val="a0"/>
    <w:link w:val="a5"/>
    <w:uiPriority w:val="99"/>
    <w:semiHidden/>
    <w:rsid w:val="00900FC4"/>
    <w:rPr>
      <w:sz w:val="18"/>
      <w:szCs w:val="18"/>
    </w:rPr>
  </w:style>
</w:styles>
</file>

<file path=word/webSettings.xml><?xml version="1.0" encoding="utf-8"?>
<w:webSettings xmlns:r="http://schemas.openxmlformats.org/officeDocument/2006/relationships" xmlns:w="http://schemas.openxmlformats.org/wordprocessingml/2006/main">
  <w:divs>
    <w:div w:id="644315010">
      <w:bodyDiv w:val="1"/>
      <w:marLeft w:val="0"/>
      <w:marRight w:val="0"/>
      <w:marTop w:val="0"/>
      <w:marBottom w:val="0"/>
      <w:divBdr>
        <w:top w:val="none" w:sz="0" w:space="0" w:color="auto"/>
        <w:left w:val="none" w:sz="0" w:space="0" w:color="auto"/>
        <w:bottom w:val="none" w:sz="0" w:space="0" w:color="auto"/>
        <w:right w:val="none" w:sz="0" w:space="0" w:color="auto"/>
      </w:divBdr>
    </w:div>
    <w:div w:id="1375809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462</Words>
  <Characters>2637</Characters>
  <Application>Microsoft Office Word</Application>
  <DocSecurity>0</DocSecurity>
  <Lines>21</Lines>
  <Paragraphs>6</Paragraphs>
  <ScaleCrop>false</ScaleCrop>
  <Company/>
  <LinksUpToDate>false</LinksUpToDate>
  <CharactersWithSpaces>3093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2012-07-26T02:45:00Z</dcterms:created>
  <dcterms:modified xsi:type="dcterms:W3CDTF">2012-07-26T02:45:00Z</dcterms:modified>
</cp:coreProperties>
</file>