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left"/>
        <w:rPr>
          <w:rFonts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2015年造价工程师《建设工程造价案例分析》答案及解析由老师整理而成，部分网站未经许可擅自转载、抄袭，造成内容有所缺失或错误，请大家以建设工程教育公布的为准！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drawing>
          <wp:inline distT="0" distB="0" distL="114300" distR="114300">
            <wp:extent cx="5743575" cy="4857750"/>
            <wp:effectExtent l="0" t="0" r="9525" b="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stretch>
                      <a:fillRect/>
                    </a:stretch>
                  </pic:blipFill>
                  <pic:spPr>
                    <a:xfrm>
                      <a:off x="0" y="0"/>
                      <a:ext cx="5743575" cy="4857750"/>
                    </a:xfrm>
                    <a:prstGeom prst="rect">
                      <a:avLst/>
                    </a:prstGeom>
                    <a:noFill/>
                    <a:ln w="9525">
                      <a:noFill/>
                    </a:ln>
                  </pic:spPr>
                </pic:pic>
              </a:graphicData>
            </a:graphic>
          </wp:inline>
        </w:drawing>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2. 答案一、</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运营期第一年息税折旧摊销前利润</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=900×80%×（1-6%）-280×80%=452.8万元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运营期第一年偿还利息=2121.80×6%=127.31万元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运营期第一年偿还本金=452.8-127.31=325.49万元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答案二、</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固定资产原值=建设投资+建设期贷款利息=3600+121.8=3721.80万元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年折旧=固定资产原值×（1-残值率）/使用年限=3721.8×（1-5%）/10=353.57万元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运营期第一年利息=2121.80×6%=127.31万元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运营期第一年总成本=280×80%+353.57+127.1=704.88万元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运营期第一年息税前利润=900×80%×（1-6%）-704.87+127.31=99.23万元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运营期第一年可用于还款的资金=99.23+353.57=452.8万元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运营期第一年偿还的贷款利息=127.31万元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运营期第一年偿还的贷款本金=452.8-127.31=325.49万元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lang w:val="en-US" w:eastAsia="zh-CN" w:bidi="ar"/>
        </w:rPr>
        <w:drawing>
          <wp:inline distT="0" distB="0" distL="114300" distR="114300">
            <wp:extent cx="5724525" cy="2943225"/>
            <wp:effectExtent l="0" t="0" r="9525" b="9525"/>
            <wp:docPr id="3" name="图片 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7"/>
                    <pic:cNvPicPr>
                      <a:picLocks noChangeAspect="1"/>
                    </pic:cNvPicPr>
                  </pic:nvPicPr>
                  <pic:blipFill>
                    <a:blip r:embed="rId5"/>
                    <a:stretch>
                      <a:fillRect/>
                    </a:stretch>
                  </pic:blipFill>
                  <pic:spPr>
                    <a:xfrm>
                      <a:off x="0" y="0"/>
                      <a:ext cx="5724525" cy="29432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left"/>
        <w:rPr>
          <w:rFonts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2015年造价工程师《建设工程造价案例分析》答案及解析由老师整理而成，部分网站未经许可擅自转载、抄袭，造成内容有所缺失或错误，请大家以建设工程教育公布的为准！</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试题二：</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某承包人在一多层厂房工程施工中，拟定了三个可供选择的施工方案，专家组为此进行技术经济分析。对各方案的技术经济指标打分见表2.1，并一致认为各经济指标重要程度为：F1相对于F2很重要，F1相对于F3较重要，F2和F4同等重要，F3和F5同等重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drawing>
          <wp:inline distT="0" distB="0" distL="114300" distR="114300">
            <wp:extent cx="5715000" cy="6724650"/>
            <wp:effectExtent l="0" t="0" r="0" b="0"/>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6"/>
                    <a:stretch>
                      <a:fillRect/>
                    </a:stretch>
                  </pic:blipFill>
                  <pic:spPr>
                    <a:xfrm>
                      <a:off x="0" y="0"/>
                      <a:ext cx="5715000" cy="6724650"/>
                    </a:xfrm>
                    <a:prstGeom prst="rect">
                      <a:avLst/>
                    </a:prstGeom>
                    <a:noFill/>
                    <a:ln w="9525">
                      <a:noFill/>
                    </a:ln>
                  </pic:spPr>
                </pic:pic>
              </a:graphicData>
            </a:graphic>
          </wp:inline>
        </w:drawing>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3.已知A、B、C三个施工方案的成本指数分别为0.3439、0.3167、0.3394，采用价值指数法选择最佳施工方案。</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【答案】</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A方案价值指数=0.3333/0.3439=0.9692</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B方案价值指数=0.3397/0.3167=1.0726</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C方案价值指数=0.3270/0.3394=0.9635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b w:val="0"/>
          <w:i w:val="0"/>
          <w:caps w:val="0"/>
          <w:color w:val="333333"/>
          <w:spacing w:val="0"/>
          <w:kern w:val="0"/>
          <w:sz w:val="24"/>
          <w:szCs w:val="24"/>
          <w:bdr w:val="none" w:color="auto" w:sz="0" w:space="0"/>
          <w:lang w:val="en-US" w:eastAsia="zh-CN" w:bidi="ar"/>
        </w:rPr>
        <w:t>因为</w:t>
      </w:r>
      <w:r>
        <w:rPr>
          <w:rFonts w:ascii="Calibri" w:hAnsi="Calibri" w:eastAsia="微软雅黑" w:cs="Calibri"/>
          <w:b w:val="0"/>
          <w:i w:val="0"/>
          <w:caps w:val="0"/>
          <w:color w:val="333333"/>
          <w:spacing w:val="0"/>
          <w:kern w:val="0"/>
          <w:sz w:val="24"/>
          <w:szCs w:val="24"/>
          <w:bdr w:val="none" w:color="auto" w:sz="0" w:space="0"/>
          <w:lang w:val="en-US" w:eastAsia="zh-CN" w:bidi="ar"/>
        </w:rPr>
        <w:t>B</w:t>
      </w:r>
      <w:r>
        <w:rPr>
          <w:rFonts w:hint="eastAsia" w:ascii="宋体" w:hAnsi="宋体" w:eastAsia="宋体" w:cs="宋体"/>
          <w:b w:val="0"/>
          <w:i w:val="0"/>
          <w:caps w:val="0"/>
          <w:color w:val="333333"/>
          <w:spacing w:val="0"/>
          <w:kern w:val="0"/>
          <w:sz w:val="24"/>
          <w:szCs w:val="24"/>
          <w:bdr w:val="none" w:color="auto" w:sz="0" w:space="0"/>
          <w:lang w:val="en-US" w:eastAsia="zh-CN" w:bidi="ar"/>
        </w:rPr>
        <w:t>方案价值指数最大，所以选</w:t>
      </w:r>
      <w:r>
        <w:rPr>
          <w:rFonts w:hint="default" w:ascii="Calibri" w:hAnsi="Calibri" w:eastAsia="微软雅黑" w:cs="Calibri"/>
          <w:b w:val="0"/>
          <w:i w:val="0"/>
          <w:caps w:val="0"/>
          <w:color w:val="333333"/>
          <w:spacing w:val="0"/>
          <w:kern w:val="0"/>
          <w:sz w:val="24"/>
          <w:szCs w:val="24"/>
          <w:bdr w:val="none" w:color="auto" w:sz="0" w:space="0"/>
          <w:lang w:val="en-US" w:eastAsia="zh-CN" w:bidi="ar"/>
        </w:rPr>
        <w:t>B</w:t>
      </w:r>
      <w:r>
        <w:rPr>
          <w:rFonts w:hint="eastAsia" w:ascii="宋体" w:hAnsi="宋体" w:eastAsia="宋体" w:cs="宋体"/>
          <w:b w:val="0"/>
          <w:i w:val="0"/>
          <w:caps w:val="0"/>
          <w:color w:val="333333"/>
          <w:spacing w:val="0"/>
          <w:kern w:val="0"/>
          <w:sz w:val="24"/>
          <w:szCs w:val="24"/>
          <w:bdr w:val="none" w:color="auto" w:sz="0" w:space="0"/>
          <w:lang w:val="en-US" w:eastAsia="zh-CN" w:bidi="ar"/>
        </w:rPr>
        <w:t>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drawing>
          <wp:inline distT="0" distB="0" distL="114300" distR="114300">
            <wp:extent cx="5715000" cy="5181600"/>
            <wp:effectExtent l="0" t="0" r="0" b="0"/>
            <wp:docPr id="5" name="图片 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7"/>
                    <pic:cNvPicPr>
                      <a:picLocks noChangeAspect="1"/>
                    </pic:cNvPicPr>
                  </pic:nvPicPr>
                  <pic:blipFill>
                    <a:blip r:embed="rId7"/>
                    <a:stretch>
                      <a:fillRect/>
                    </a:stretch>
                  </pic:blipFill>
                  <pic:spPr>
                    <a:xfrm>
                      <a:off x="0" y="0"/>
                      <a:ext cx="5715000" cy="51816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left"/>
        <w:rPr>
          <w:rFonts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2015年造价工程师《建设工程造价案例分析》答案及解析由老师整理而成，部分网站未经许可擅自转载、抄袭，造成内容有所缺失或错误，请大家以建设工程教育公布的为准！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drawing>
          <wp:inline distT="0" distB="0" distL="114300" distR="114300">
            <wp:extent cx="5743575" cy="3200400"/>
            <wp:effectExtent l="0" t="0" r="9525" b="0"/>
            <wp:docPr id="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6"/>
                    <pic:cNvPicPr>
                      <a:picLocks noChangeAspect="1"/>
                    </pic:cNvPicPr>
                  </pic:nvPicPr>
                  <pic:blipFill>
                    <a:blip r:embed="rId8"/>
                    <a:stretch>
                      <a:fillRect/>
                    </a:stretch>
                  </pic:blipFill>
                  <pic:spPr>
                    <a:xfrm>
                      <a:off x="0" y="0"/>
                      <a:ext cx="5743575" cy="3200400"/>
                    </a:xfrm>
                    <a:prstGeom prst="rect">
                      <a:avLst/>
                    </a:prstGeom>
                    <a:noFill/>
                    <a:ln w="9525">
                      <a:noFill/>
                    </a:ln>
                  </pic:spPr>
                </pic:pic>
              </a:graphicData>
            </a:graphic>
          </wp:inline>
        </w:drawing>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事件5：咨询企业负责人认为最高投标限价不用保密，因此接受了某拟投标人委托，为其提供报价咨询；</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事件6：为控制投标报价水平，咨询企业和业主商定，以代表省内先进水平的A施工企业定额为依据，编制最高投标限价。</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问题：</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1.针对事件1，指出①～④内容是否妥当，说明理由；</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2.针对事件2-6，分别指出相关行为、观点是否妥当，说明理由。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drawing>
          <wp:inline distT="0" distB="0" distL="114300" distR="114300">
            <wp:extent cx="5724525" cy="3362325"/>
            <wp:effectExtent l="0" t="0" r="9525" b="9525"/>
            <wp:docPr id="7" name="图片 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57"/>
                    <pic:cNvPicPr>
                      <a:picLocks noChangeAspect="1"/>
                    </pic:cNvPicPr>
                  </pic:nvPicPr>
                  <pic:blipFill>
                    <a:blip r:embed="rId9"/>
                    <a:stretch>
                      <a:fillRect/>
                    </a:stretch>
                  </pic:blipFill>
                  <pic:spPr>
                    <a:xfrm>
                      <a:off x="0" y="0"/>
                      <a:ext cx="5724525" cy="3362325"/>
                    </a:xfrm>
                    <a:prstGeom prst="rect">
                      <a:avLst/>
                    </a:prstGeom>
                    <a:noFill/>
                    <a:ln w="9525">
                      <a:noFill/>
                    </a:ln>
                  </pic:spPr>
                </pic:pic>
              </a:graphicData>
            </a:graphic>
          </wp:inline>
        </w:drawing>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2.（1）事件2中项目经理的观点不正确。</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理由：根据《标准施工招标文件》的相关规定，合同条款属于招标文件的组成部分，合同条款及格式中明确了施工合同条款由通用合同条款和专用合同条款两部分组成，同时规定了合同协议书、履约担保和预付款担保的文件格式。其中专用合同条款是发包人和承包人双方根据工程具体情况对通用合同条款的补充、细化，除通用合同条款中明确专用合同条款可作出不同约定外，补充和细化的内容不得与通用合同条款规定的内容相抵触。</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（2）事件3中项目经理的观点不正确。</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理由：根据《招标投标法实施条例》的相关规定，普通教学楼属于通用项目，宜采用经评审的最低投标报价法进行评标。经评审的最低投标价法一般适用于具有通用技术、性能标准或者招标人对其技术、性能没有特殊要求的招标项目。</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lang w:val="en-US" w:eastAsia="zh-CN" w:bidi="ar"/>
        </w:rPr>
        <w:drawing>
          <wp:inline distT="0" distB="0" distL="114300" distR="114300">
            <wp:extent cx="5724525" cy="2952750"/>
            <wp:effectExtent l="0" t="0" r="9525" b="0"/>
            <wp:docPr id="8" name="图片 8"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58"/>
                    <pic:cNvPicPr>
                      <a:picLocks noChangeAspect="1"/>
                    </pic:cNvPicPr>
                  </pic:nvPicPr>
                  <pic:blipFill>
                    <a:blip r:embed="rId10"/>
                    <a:stretch>
                      <a:fillRect/>
                    </a:stretch>
                  </pic:blipFill>
                  <pic:spPr>
                    <a:xfrm>
                      <a:off x="0" y="0"/>
                      <a:ext cx="5724525" cy="29527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left"/>
        <w:rPr>
          <w:rFonts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2015年造价工程师《建设工程造价案例分析》答案及解析由老师整理而成，部分网站未经许可擅自转载、抄袭，造成内容有所缺失或错误，请大家以建设工程教育公布的为准！</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lang w:val="en-US" w:eastAsia="zh-CN" w:bidi="ar"/>
        </w:rPr>
        <w:drawing>
          <wp:inline distT="0" distB="0" distL="114300" distR="114300">
            <wp:extent cx="5715000" cy="4524375"/>
            <wp:effectExtent l="0" t="0" r="0" b="9525"/>
            <wp:docPr id="9"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56"/>
                    <pic:cNvPicPr>
                      <a:picLocks noChangeAspect="1"/>
                    </pic:cNvPicPr>
                  </pic:nvPicPr>
                  <pic:blipFill>
                    <a:blip r:embed="rId11"/>
                    <a:stretch>
                      <a:fillRect/>
                    </a:stretch>
                  </pic:blipFill>
                  <pic:spPr>
                    <a:xfrm>
                      <a:off x="0" y="0"/>
                      <a:ext cx="5715000" cy="4524375"/>
                    </a:xfrm>
                    <a:prstGeom prst="rect">
                      <a:avLst/>
                    </a:prstGeom>
                    <a:noFill/>
                    <a:ln w="9525">
                      <a:noFill/>
                    </a:ln>
                  </pic:spPr>
                </pic:pic>
              </a:graphicData>
            </a:graphic>
          </wp:inline>
        </w:drawing>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施工过程中发生了如下事件：</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事件1：主体结构作业20天后，遇到持续两天的特大暴风雨，造成工地堆放的承包人部分周转材料损失费用2000元；特大暴风雨结束后，承包人安排该作业队中20人修复倒塌的模板及支撑，30人进行工程修复和场地清理，其他人在现场停工待命，修复和清理工作持续了1天时间。施工机械A、B持续窝工闲置3个台班（台班费分别为：1200元/台班、900元/台班）。</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事件2：设备基础与管沟完成后，专业分包人对其进行技术复核，发现有部分基础尺寸和地脚螺栓预留孔洞位置偏差过大。经沟通，承包人安排10名工人用了6天时间进行返工处理，发生人材机费用1260元，使设备基础与管沟工作持续时间增加6天；</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事件3：设备与管线安装作业中，因发包人采购成套生产设备的配套附件不全，专业分包人自行决定采购补全，发生采购费用3500元，并造成作业班组整体停工3天，因受干扰降效增加作业用工60个工日，施工机械C闲置3个台班（台班费：1600元/台班），设备与管线安装工作持续时间增加3天；</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事件4：为抢工期，经监理工程师同意，承包人将试运行部分工作提前安排，和设备与管线安装搭接作业5天，因搭接作业相互干扰降效使费用增加10000元。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其余各项工作的持续时间和费用没有发生变化。</w:t>
      </w:r>
      <w:r>
        <w:rPr>
          <w:rFonts w:hint="eastAsia" w:ascii="微软雅黑" w:hAnsi="微软雅黑" w:eastAsia="微软雅黑" w:cs="微软雅黑"/>
          <w:b w:val="0"/>
          <w:i w:val="0"/>
          <w:caps w:val="0"/>
          <w:color w:val="333333"/>
          <w:spacing w:val="0"/>
          <w:kern w:val="0"/>
          <w:sz w:val="24"/>
          <w:szCs w:val="24"/>
          <w:lang w:val="en-US" w:eastAsia="zh-CN" w:bidi="ar"/>
        </w:rPr>
        <w:br w:type="textWrapping"/>
      </w:r>
      <w:r>
        <w:rPr>
          <w:rFonts w:hint="eastAsia" w:ascii="微软雅黑" w:hAnsi="微软雅黑" w:eastAsia="微软雅黑" w:cs="微软雅黑"/>
          <w:b w:val="0"/>
          <w:i w:val="0"/>
          <w:caps w:val="0"/>
          <w:color w:val="333333"/>
          <w:spacing w:val="0"/>
          <w:kern w:val="0"/>
          <w:sz w:val="24"/>
          <w:szCs w:val="24"/>
          <w:lang w:val="en-US" w:eastAsia="zh-CN" w:bidi="ar"/>
        </w:rPr>
        <w:t>上述事件后，承包人均在合同规定的时间内向发包人提出索赔，并提交了相关索赔资料。</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lang w:val="en-US" w:eastAsia="zh-CN" w:bidi="ar"/>
        </w:rPr>
        <w:drawing>
          <wp:inline distT="0" distB="0" distL="114300" distR="114300">
            <wp:extent cx="5743575" cy="6705600"/>
            <wp:effectExtent l="0" t="0" r="9525" b="0"/>
            <wp:docPr id="10" name="图片 1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57"/>
                    <pic:cNvPicPr>
                      <a:picLocks noChangeAspect="1"/>
                    </pic:cNvPicPr>
                  </pic:nvPicPr>
                  <pic:blipFill>
                    <a:blip r:embed="rId12"/>
                    <a:stretch>
                      <a:fillRect/>
                    </a:stretch>
                  </pic:blipFill>
                  <pic:spPr>
                    <a:xfrm>
                      <a:off x="0" y="0"/>
                      <a:ext cx="5743575" cy="67056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left"/>
        <w:rPr>
          <w:rFonts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2015年造价工程师《建设工程造价案例分析》答案及解析由老师整理而成，部分网站未经许可擅自转载、抄袭，造成内容有所缺失或错误，请大家以建设工程教育公布的为准！</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试题五：（20分）</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某工程项目发包人与承包人签订了施工合同，工期4个月，工程内容包括A、B两项分项工程，综合单价分别为360.00元/m³、220.00元/m³；管理费和利润为人材机费用之和的16%；规费和税金为人材机费用、管理费和利润之和的10%，各分项工程每月计划和实际完成工程量及单价措施项目费用见表5.1。</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表5.1 分项工程工程量及单价措施项目费用数据表</w:t>
      </w:r>
    </w:p>
    <w:tbl>
      <w:tblPr>
        <w:tblW w:w="8335"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092"/>
        <w:gridCol w:w="2113"/>
        <w:gridCol w:w="778"/>
        <w:gridCol w:w="778"/>
        <w:gridCol w:w="778"/>
        <w:gridCol w:w="778"/>
        <w:gridCol w:w="101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4205" w:type="dxa"/>
            <w:gridSpan w:val="2"/>
            <w:vMerge w:val="restart"/>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工程量和费用名称</w:t>
            </w:r>
          </w:p>
        </w:tc>
        <w:tc>
          <w:tcPr>
            <w:tcW w:w="3112" w:type="dxa"/>
            <w:gridSpan w:val="4"/>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月份</w:t>
            </w:r>
          </w:p>
        </w:tc>
        <w:tc>
          <w:tcPr>
            <w:tcW w:w="101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合计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4205" w:type="dxa"/>
            <w:gridSpan w:val="2"/>
            <w:vMerge w:val="continue"/>
            <w:shd w:val="clear"/>
            <w:vAlign w:val="top"/>
          </w:tcPr>
          <w:p>
            <w:pPr>
              <w:jc w:val="left"/>
              <w:rPr>
                <w:rFonts w:hint="eastAsia" w:ascii="微软雅黑" w:hAnsi="微软雅黑" w:eastAsia="微软雅黑" w:cs="微软雅黑"/>
                <w:b w:val="0"/>
                <w:i w:val="0"/>
                <w:caps w:val="0"/>
                <w:color w:val="333333"/>
                <w:spacing w:val="0"/>
                <w:sz w:val="24"/>
                <w:szCs w:val="24"/>
              </w:rPr>
            </w:pP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1</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2</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3</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4</w:t>
            </w:r>
          </w:p>
        </w:tc>
        <w:tc>
          <w:tcPr>
            <w:tcW w:w="101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092" w:type="dxa"/>
            <w:vMerge w:val="restart"/>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A分项工程</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（m³）</w:t>
            </w:r>
          </w:p>
        </w:tc>
        <w:tc>
          <w:tcPr>
            <w:tcW w:w="2113"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计划工程量</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200</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300</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300</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200</w:t>
            </w:r>
          </w:p>
        </w:tc>
        <w:tc>
          <w:tcPr>
            <w:tcW w:w="101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1000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092" w:type="dxa"/>
            <w:vMerge w:val="continue"/>
            <w:shd w:val="clear"/>
            <w:vAlign w:val="top"/>
          </w:tcPr>
          <w:p>
            <w:pPr>
              <w:jc w:val="left"/>
              <w:rPr>
                <w:rFonts w:hint="eastAsia" w:ascii="微软雅黑" w:hAnsi="微软雅黑" w:eastAsia="微软雅黑" w:cs="微软雅黑"/>
                <w:b w:val="0"/>
                <w:i w:val="0"/>
                <w:caps w:val="0"/>
                <w:color w:val="333333"/>
                <w:spacing w:val="0"/>
                <w:sz w:val="24"/>
                <w:szCs w:val="24"/>
              </w:rPr>
            </w:pPr>
          </w:p>
        </w:tc>
        <w:tc>
          <w:tcPr>
            <w:tcW w:w="2113"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实际工程量</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200</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320</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360</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300</w:t>
            </w:r>
          </w:p>
        </w:tc>
        <w:tc>
          <w:tcPr>
            <w:tcW w:w="101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1180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092" w:type="dxa"/>
            <w:vMerge w:val="restart"/>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B分项工程</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（m³）</w:t>
            </w:r>
          </w:p>
        </w:tc>
        <w:tc>
          <w:tcPr>
            <w:tcW w:w="2113"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计划工程量</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180</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200</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200</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120</w:t>
            </w:r>
          </w:p>
        </w:tc>
        <w:tc>
          <w:tcPr>
            <w:tcW w:w="101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700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092" w:type="dxa"/>
            <w:vMerge w:val="continue"/>
            <w:shd w:val="clear"/>
            <w:vAlign w:val="top"/>
          </w:tcPr>
          <w:p>
            <w:pPr>
              <w:jc w:val="left"/>
              <w:rPr>
                <w:rFonts w:hint="eastAsia" w:ascii="微软雅黑" w:hAnsi="微软雅黑" w:eastAsia="微软雅黑" w:cs="微软雅黑"/>
                <w:b w:val="0"/>
                <w:i w:val="0"/>
                <w:caps w:val="0"/>
                <w:color w:val="333333"/>
                <w:spacing w:val="0"/>
                <w:sz w:val="24"/>
                <w:szCs w:val="24"/>
              </w:rPr>
            </w:pPr>
          </w:p>
        </w:tc>
        <w:tc>
          <w:tcPr>
            <w:tcW w:w="2113"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实际工程量</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180</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210</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220</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90</w:t>
            </w:r>
          </w:p>
        </w:tc>
        <w:tc>
          <w:tcPr>
            <w:tcW w:w="101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700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4205" w:type="dxa"/>
            <w:gridSpan w:val="2"/>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单价措施项目费用（万元）</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2</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2</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2</w:t>
            </w:r>
          </w:p>
        </w:tc>
        <w:tc>
          <w:tcPr>
            <w:tcW w:w="77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1</w:t>
            </w:r>
          </w:p>
        </w:tc>
        <w:tc>
          <w:tcPr>
            <w:tcW w:w="1018" w:type="dxa"/>
            <w:shd w:val="clear"/>
            <w:vAlign w:val="top"/>
          </w:tcPr>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7</w:t>
            </w:r>
          </w:p>
        </w:tc>
      </w:tr>
    </w:tbl>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总价措施项目费用6万元（其中安全文明施工费3.6万元）；暂列金额15万元。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lang w:val="en-US" w:eastAsia="zh-CN" w:bidi="ar"/>
        </w:rPr>
        <w:drawing>
          <wp:inline distT="0" distB="0" distL="114300" distR="114300">
            <wp:extent cx="5676900" cy="3152775"/>
            <wp:effectExtent l="0" t="0" r="0" b="9525"/>
            <wp:docPr id="11"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56"/>
                    <pic:cNvPicPr>
                      <a:picLocks noChangeAspect="1"/>
                    </pic:cNvPicPr>
                  </pic:nvPicPr>
                  <pic:blipFill>
                    <a:blip r:embed="rId13"/>
                    <a:stretch>
                      <a:fillRect/>
                    </a:stretch>
                  </pic:blipFill>
                  <pic:spPr>
                    <a:xfrm>
                      <a:off x="0" y="0"/>
                      <a:ext cx="5676900" cy="3152775"/>
                    </a:xfrm>
                    <a:prstGeom prst="rect">
                      <a:avLst/>
                    </a:prstGeom>
                    <a:noFill/>
                    <a:ln w="9525">
                      <a:noFill/>
                    </a:ln>
                  </pic:spPr>
                </pic:pic>
              </a:graphicData>
            </a:graphic>
          </wp:inline>
        </w:drawing>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【答案】</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合同价[（360×1000+220×700）/10000+7+6+15]×（1+10%）=87.34万元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工程预付款[（360×1000+220×700）/10000+7+6-3.6]×（1+10%）×20%=13.376万元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2.第2个月发包人应支付给承包人的工程价款为多少万元？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【答案】第2、3月支付措施费=（6-3.6×60%）/2=1.92万元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lang w:val="en-US" w:eastAsia="zh-CN" w:bidi="ar"/>
        </w:rPr>
        <w:t>第2月应支付给承包人的工程价款=[（360×320+220×210）/10000+2+1.92+6.8×1.16]×（1+10%）×90%-13.376/2=20.981万元</w:t>
      </w:r>
    </w:p>
    <w:p>
      <w:pPr>
        <w:keepNext w:val="0"/>
        <w:keepLines w:val="0"/>
        <w:widowControl/>
        <w:suppressLineNumbers w:val="0"/>
        <w:ind w:lef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lang w:val="en-US" w:eastAsia="zh-CN" w:bidi="ar"/>
        </w:rPr>
        <w:drawing>
          <wp:inline distT="0" distB="0" distL="114300" distR="114300">
            <wp:extent cx="5743575" cy="3362325"/>
            <wp:effectExtent l="0" t="0" r="9525" b="9525"/>
            <wp:docPr id="12" name="图片 1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57"/>
                    <pic:cNvPicPr>
                      <a:picLocks noChangeAspect="1"/>
                    </pic:cNvPicPr>
                  </pic:nvPicPr>
                  <pic:blipFill>
                    <a:blip r:embed="rId14"/>
                    <a:stretch>
                      <a:fillRect/>
                    </a:stretch>
                  </pic:blipFill>
                  <pic:spPr>
                    <a:xfrm>
                      <a:off x="0" y="0"/>
                      <a:ext cx="5743575" cy="33623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left"/>
        <w:rPr>
          <w:rFonts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2015年造价工程师《建设工程造价案例分析》答案及解析由老师整理而成，部分网站未经许可擅自转载、抄袭，造成内容有所缺失或错误，请大家以建设工程教育公布的为准！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drawing>
          <wp:inline distT="0" distB="0" distL="114300" distR="114300">
            <wp:extent cx="5734050" cy="1352550"/>
            <wp:effectExtent l="0" t="0" r="0" b="0"/>
            <wp:docPr id="13" name="图片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56"/>
                    <pic:cNvPicPr>
                      <a:picLocks noChangeAspect="1"/>
                    </pic:cNvPicPr>
                  </pic:nvPicPr>
                  <pic:blipFill>
                    <a:blip r:embed="rId15"/>
                    <a:stretch>
                      <a:fillRect/>
                    </a:stretch>
                  </pic:blipFill>
                  <pic:spPr>
                    <a:xfrm>
                      <a:off x="0" y="0"/>
                      <a:ext cx="5734050" cy="13525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drawing>
          <wp:inline distT="0" distB="0" distL="114300" distR="114300">
            <wp:extent cx="5715000" cy="3209925"/>
            <wp:effectExtent l="0" t="0" r="0" b="9525"/>
            <wp:docPr id="14" name="图片 1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57"/>
                    <pic:cNvPicPr>
                      <a:picLocks noChangeAspect="1"/>
                    </pic:cNvPicPr>
                  </pic:nvPicPr>
                  <pic:blipFill>
                    <a:blip r:embed="rId16"/>
                    <a:stretch>
                      <a:fillRect/>
                    </a:stretch>
                  </pic:blipFill>
                  <pic:spPr>
                    <a:xfrm>
                      <a:off x="0" y="0"/>
                      <a:ext cx="5715000" cy="32099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drawing>
          <wp:inline distT="0" distB="0" distL="114300" distR="114300">
            <wp:extent cx="5715000" cy="3200400"/>
            <wp:effectExtent l="0" t="0" r="0" b="0"/>
            <wp:docPr id="15" name="图片 1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58"/>
                    <pic:cNvPicPr>
                      <a:picLocks noChangeAspect="1"/>
                    </pic:cNvPicPr>
                  </pic:nvPicPr>
                  <pic:blipFill>
                    <a:blip r:embed="rId17"/>
                    <a:stretch>
                      <a:fillRect/>
                    </a:stretch>
                  </pic:blipFill>
                  <pic:spPr>
                    <a:xfrm>
                      <a:off x="0" y="0"/>
                      <a:ext cx="5715000" cy="320040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问题：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4"/>
          <w:szCs w:val="24"/>
        </w:rPr>
      </w:pPr>
      <w:r>
        <w:rPr>
          <w:rFonts w:ascii="Calibri" w:hAnsi="Calibri" w:eastAsia="微软雅黑" w:cs="Calibri"/>
          <w:b w:val="0"/>
          <w:i w:val="0"/>
          <w:caps w:val="0"/>
          <w:color w:val="333333"/>
          <w:spacing w:val="0"/>
          <w:kern w:val="0"/>
          <w:sz w:val="24"/>
          <w:szCs w:val="24"/>
          <w:bdr w:val="none" w:color="auto" w:sz="0" w:space="0"/>
          <w:lang w:val="en-US" w:eastAsia="zh-CN" w:bidi="ar"/>
        </w:rPr>
        <w:t>1</w:t>
      </w:r>
      <w:r>
        <w:rPr>
          <w:rFonts w:hint="eastAsia" w:ascii="宋体" w:hAnsi="宋体" w:eastAsia="宋体" w:cs="宋体"/>
          <w:b w:val="0"/>
          <w:i w:val="0"/>
          <w:caps w:val="0"/>
          <w:color w:val="333333"/>
          <w:spacing w:val="0"/>
          <w:kern w:val="0"/>
          <w:sz w:val="24"/>
          <w:szCs w:val="24"/>
          <w:bdr w:val="none" w:color="auto" w:sz="0" w:space="0"/>
          <w:lang w:val="en-US" w:eastAsia="zh-CN" w:bidi="ar"/>
        </w:rPr>
        <w:t>根据工程图纸及技术参数，按《房屋建筑与装饰工程工程量计算规范》（</w:t>
      </w:r>
      <w:r>
        <w:rPr>
          <w:rFonts w:hint="default" w:ascii="Calibri" w:hAnsi="Calibri" w:eastAsia="微软雅黑" w:cs="Calibri"/>
          <w:b w:val="0"/>
          <w:i w:val="0"/>
          <w:caps w:val="0"/>
          <w:color w:val="333333"/>
          <w:spacing w:val="0"/>
          <w:kern w:val="0"/>
          <w:sz w:val="24"/>
          <w:szCs w:val="24"/>
          <w:bdr w:val="none" w:color="auto" w:sz="0" w:space="0"/>
          <w:lang w:val="en-US" w:eastAsia="zh-CN" w:bidi="ar"/>
        </w:rPr>
        <w:t>GB50854-2013</w:t>
      </w:r>
      <w:r>
        <w:rPr>
          <w:rFonts w:hint="eastAsia" w:ascii="宋体" w:hAnsi="宋体" w:eastAsia="宋体" w:cs="宋体"/>
          <w:b w:val="0"/>
          <w:i w:val="0"/>
          <w:caps w:val="0"/>
          <w:color w:val="333333"/>
          <w:spacing w:val="0"/>
          <w:kern w:val="0"/>
          <w:sz w:val="24"/>
          <w:szCs w:val="24"/>
          <w:bdr w:val="none" w:color="auto" w:sz="0" w:space="0"/>
          <w:lang w:val="en-US" w:eastAsia="zh-CN" w:bidi="ar"/>
        </w:rPr>
        <w:t>）的计算规则，在答题卡表</w:t>
      </w:r>
      <w:r>
        <w:rPr>
          <w:rFonts w:hint="default" w:ascii="Calibri" w:hAnsi="Calibri" w:eastAsia="微软雅黑" w:cs="Calibri"/>
          <w:b w:val="0"/>
          <w:i w:val="0"/>
          <w:caps w:val="0"/>
          <w:color w:val="333333"/>
          <w:spacing w:val="0"/>
          <w:kern w:val="0"/>
          <w:sz w:val="24"/>
          <w:szCs w:val="24"/>
          <w:bdr w:val="none" w:color="auto" w:sz="0" w:space="0"/>
          <w:lang w:val="en-US" w:eastAsia="zh-CN" w:bidi="ar"/>
        </w:rPr>
        <w:t>6.1.1</w:t>
      </w:r>
      <w:r>
        <w:rPr>
          <w:rFonts w:hint="eastAsia" w:ascii="宋体" w:hAnsi="宋体" w:eastAsia="宋体" w:cs="宋体"/>
          <w:b w:val="0"/>
          <w:i w:val="0"/>
          <w:caps w:val="0"/>
          <w:color w:val="333333"/>
          <w:spacing w:val="0"/>
          <w:kern w:val="0"/>
          <w:sz w:val="24"/>
          <w:szCs w:val="24"/>
          <w:bdr w:val="none" w:color="auto" w:sz="0" w:space="0"/>
          <w:lang w:val="en-US" w:eastAsia="zh-CN" w:bidi="ar"/>
        </w:rPr>
        <w:t>“工程量计算表”中，列式计算现浇混凝土基础垫层、现浇混凝土独立基础（</w:t>
      </w:r>
      <w:r>
        <w:rPr>
          <w:rFonts w:hint="default" w:ascii="Calibri" w:hAnsi="Calibri" w:eastAsia="微软雅黑" w:cs="Calibri"/>
          <w:b w:val="0"/>
          <w:i w:val="0"/>
          <w:caps w:val="0"/>
          <w:color w:val="333333"/>
          <w:spacing w:val="0"/>
          <w:kern w:val="0"/>
          <w:sz w:val="24"/>
          <w:szCs w:val="24"/>
          <w:bdr w:val="none" w:color="auto" w:sz="0" w:space="0"/>
          <w:lang w:val="en-US" w:eastAsia="zh-CN" w:bidi="ar"/>
        </w:rPr>
        <w:t>-0.3</w:t>
      </w:r>
      <w:r>
        <w:rPr>
          <w:rFonts w:hint="eastAsia" w:ascii="宋体" w:hAnsi="宋体" w:eastAsia="宋体" w:cs="宋体"/>
          <w:b w:val="0"/>
          <w:i w:val="0"/>
          <w:caps w:val="0"/>
          <w:color w:val="333333"/>
          <w:spacing w:val="0"/>
          <w:kern w:val="0"/>
          <w:sz w:val="24"/>
          <w:szCs w:val="24"/>
          <w:bdr w:val="none" w:color="auto" w:sz="0" w:space="0"/>
          <w:lang w:val="en-US" w:eastAsia="zh-CN" w:bidi="ar"/>
        </w:rPr>
        <w:t>米以下部分），现浇混凝土基础梁、现浇构件钢筋、现浇混凝土模板五项分部分项工程的工程量，根据已有类似项目结算资料测算，各钢筋混凝土基础钢筋参考含量分别为：独立基础</w:t>
      </w:r>
      <w:r>
        <w:rPr>
          <w:rFonts w:hint="default" w:ascii="Calibri" w:hAnsi="Calibri" w:eastAsia="微软雅黑" w:cs="Calibri"/>
          <w:b w:val="0"/>
          <w:i w:val="0"/>
          <w:caps w:val="0"/>
          <w:color w:val="333333"/>
          <w:spacing w:val="0"/>
          <w:kern w:val="0"/>
          <w:sz w:val="24"/>
          <w:szCs w:val="24"/>
          <w:bdr w:val="none" w:color="auto" w:sz="0" w:space="0"/>
          <w:lang w:val="en-US" w:eastAsia="zh-CN" w:bidi="ar"/>
        </w:rPr>
        <w:t>80kg/m</w:t>
      </w:r>
      <w:r>
        <w:rPr>
          <w:rFonts w:hint="eastAsia" w:ascii="宋体" w:hAnsi="宋体" w:eastAsia="宋体" w:cs="宋体"/>
          <w:b w:val="0"/>
          <w:i w:val="0"/>
          <w:caps w:val="0"/>
          <w:color w:val="333333"/>
          <w:spacing w:val="0"/>
          <w:kern w:val="0"/>
          <w:sz w:val="24"/>
          <w:szCs w:val="24"/>
          <w:bdr w:val="none" w:color="auto" w:sz="0" w:space="0"/>
          <w:lang w:val="en-US" w:eastAsia="zh-CN" w:bidi="ar"/>
        </w:rPr>
        <w:t>³，基础梁</w:t>
      </w:r>
      <w:r>
        <w:rPr>
          <w:rFonts w:hint="default" w:ascii="Calibri" w:hAnsi="Calibri" w:eastAsia="微软雅黑" w:cs="Calibri"/>
          <w:b w:val="0"/>
          <w:i w:val="0"/>
          <w:caps w:val="0"/>
          <w:color w:val="333333"/>
          <w:spacing w:val="0"/>
          <w:kern w:val="0"/>
          <w:sz w:val="24"/>
          <w:szCs w:val="24"/>
          <w:bdr w:val="none" w:color="auto" w:sz="0" w:space="0"/>
          <w:lang w:val="en-US" w:eastAsia="zh-CN" w:bidi="ar"/>
        </w:rPr>
        <w:t>100kg/m</w:t>
      </w:r>
      <w:r>
        <w:rPr>
          <w:rFonts w:hint="eastAsia" w:ascii="宋体" w:hAnsi="宋体" w:eastAsia="宋体" w:cs="宋体"/>
          <w:b w:val="0"/>
          <w:i w:val="0"/>
          <w:caps w:val="0"/>
          <w:color w:val="333333"/>
          <w:spacing w:val="0"/>
          <w:kern w:val="0"/>
          <w:sz w:val="24"/>
          <w:szCs w:val="24"/>
          <w:bdr w:val="none" w:color="auto" w:sz="0" w:space="0"/>
          <w:lang w:val="en-US" w:eastAsia="zh-CN" w:bidi="ar"/>
        </w:rPr>
        <w:t>³。（基础梁施工是在基础回填土回填至</w:t>
      </w:r>
      <w:r>
        <w:rPr>
          <w:rFonts w:hint="default" w:ascii="Calibri" w:hAnsi="Calibri" w:eastAsia="微软雅黑" w:cs="Calibri"/>
          <w:b w:val="0"/>
          <w:i w:val="0"/>
          <w:caps w:val="0"/>
          <w:color w:val="333333"/>
          <w:spacing w:val="0"/>
          <w:kern w:val="0"/>
          <w:sz w:val="24"/>
          <w:szCs w:val="24"/>
          <w:bdr w:val="none" w:color="auto" w:sz="0" w:space="0"/>
          <w:lang w:val="en-US" w:eastAsia="zh-CN" w:bidi="ar"/>
        </w:rPr>
        <w:t>-1.00</w:t>
      </w:r>
      <w:r>
        <w:rPr>
          <w:rFonts w:hint="eastAsia" w:ascii="宋体" w:hAnsi="宋体" w:eastAsia="宋体" w:cs="宋体"/>
          <w:b w:val="0"/>
          <w:i w:val="0"/>
          <w:caps w:val="0"/>
          <w:color w:val="333333"/>
          <w:spacing w:val="0"/>
          <w:kern w:val="0"/>
          <w:sz w:val="24"/>
          <w:szCs w:val="24"/>
          <w:bdr w:val="none" w:color="auto" w:sz="0" w:space="0"/>
          <w:lang w:val="en-US" w:eastAsia="zh-CN" w:bidi="ar"/>
        </w:rPr>
        <w:t>米时再进行基础梁施工）</w:t>
      </w:r>
    </w:p>
    <w:p>
      <w:pPr>
        <w:keepNext w:val="0"/>
        <w:keepLines w:val="0"/>
        <w:widowControl/>
        <w:suppressLineNumbers w:val="0"/>
        <w:ind w:lef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【答案】</w:t>
      </w:r>
    </w:p>
    <w:p>
      <w:pPr>
        <w:keepNext w:val="0"/>
        <w:keepLines w:val="0"/>
        <w:widowControl/>
        <w:suppressLineNumbers w:val="0"/>
        <w:ind w:lef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问题一</w:t>
      </w:r>
    </w:p>
    <w:tbl>
      <w:tblPr>
        <w:tblW w:w="7845"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185"/>
        <w:gridCol w:w="720"/>
        <w:gridCol w:w="4635"/>
        <w:gridCol w:w="130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18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项目名称</w:t>
            </w:r>
          </w:p>
        </w:tc>
        <w:tc>
          <w:tcPr>
            <w:tcW w:w="720"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单位</w:t>
            </w:r>
          </w:p>
        </w:tc>
        <w:tc>
          <w:tcPr>
            <w:tcW w:w="463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计算过程</w:t>
            </w:r>
          </w:p>
        </w:tc>
        <w:tc>
          <w:tcPr>
            <w:tcW w:w="130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工程量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18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现浇混</w:t>
            </w:r>
          </w:p>
          <w:p>
            <w:pPr>
              <w:keepNext w:val="0"/>
              <w:keepLines w:val="0"/>
              <w:widowControl/>
              <w:suppressLineNumbers w:val="0"/>
              <w:jc w:val="left"/>
            </w:pPr>
            <w:r>
              <w:rPr>
                <w:rFonts w:ascii="宋体" w:hAnsi="宋体" w:eastAsia="宋体" w:cs="宋体"/>
                <w:kern w:val="0"/>
                <w:sz w:val="24"/>
                <w:szCs w:val="24"/>
                <w:lang w:val="en-US" w:eastAsia="zh-CN" w:bidi="ar"/>
              </w:rPr>
              <w:t>凝土基</w:t>
            </w:r>
          </w:p>
          <w:p>
            <w:pPr>
              <w:keepNext w:val="0"/>
              <w:keepLines w:val="0"/>
              <w:widowControl/>
              <w:suppressLineNumbers w:val="0"/>
              <w:jc w:val="left"/>
            </w:pPr>
            <w:r>
              <w:rPr>
                <w:rFonts w:ascii="宋体" w:hAnsi="宋体" w:eastAsia="宋体" w:cs="宋体"/>
                <w:kern w:val="0"/>
                <w:sz w:val="24"/>
                <w:szCs w:val="24"/>
                <w:lang w:val="en-US" w:eastAsia="zh-CN" w:bidi="ar"/>
              </w:rPr>
              <w:t>础垫层</w:t>
            </w:r>
          </w:p>
        </w:tc>
        <w:tc>
          <w:tcPr>
            <w:tcW w:w="720"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M</w:t>
            </w:r>
            <w:r>
              <w:rPr>
                <w:rFonts w:ascii="宋体" w:hAnsi="宋体" w:eastAsia="宋体" w:cs="宋体"/>
                <w:kern w:val="0"/>
                <w:sz w:val="24"/>
                <w:szCs w:val="24"/>
                <w:vertAlign w:val="superscript"/>
                <w:lang w:val="en-US" w:eastAsia="zh-CN" w:bidi="ar"/>
              </w:rPr>
              <w:t>3</w:t>
            </w:r>
          </w:p>
        </w:tc>
        <w:tc>
          <w:tcPr>
            <w:tcW w:w="463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J-1:（3.4×3.6）×0.1×10＝12.24</w:t>
            </w:r>
          </w:p>
          <w:p>
            <w:pPr>
              <w:keepNext w:val="0"/>
              <w:keepLines w:val="0"/>
              <w:widowControl/>
              <w:suppressLineNumbers w:val="0"/>
              <w:jc w:val="left"/>
            </w:pPr>
            <w:r>
              <w:rPr>
                <w:rFonts w:ascii="宋体" w:hAnsi="宋体" w:eastAsia="宋体" w:cs="宋体"/>
                <w:kern w:val="0"/>
                <w:sz w:val="24"/>
                <w:szCs w:val="24"/>
                <w:lang w:val="en-US" w:eastAsia="zh-CN" w:bidi="ar"/>
              </w:rPr>
              <w:t>J-2:（4.9×3.6）×0.1×6＝10.584</w:t>
            </w:r>
          </w:p>
          <w:p>
            <w:pPr>
              <w:keepNext w:val="0"/>
              <w:keepLines w:val="0"/>
              <w:widowControl/>
              <w:suppressLineNumbers w:val="0"/>
              <w:jc w:val="left"/>
            </w:pPr>
            <w:r>
              <w:rPr>
                <w:rFonts w:ascii="宋体" w:hAnsi="宋体" w:eastAsia="宋体" w:cs="宋体"/>
                <w:kern w:val="0"/>
                <w:sz w:val="24"/>
                <w:szCs w:val="24"/>
                <w:lang w:val="en-US" w:eastAsia="zh-CN" w:bidi="ar"/>
              </w:rPr>
              <w:t>J-3:（2.8×3.4）×0.1×4＝3.308</w:t>
            </w:r>
          </w:p>
          <w:p>
            <w:pPr>
              <w:keepNext w:val="0"/>
              <w:keepLines w:val="0"/>
              <w:widowControl/>
              <w:suppressLineNumbers w:val="0"/>
              <w:jc w:val="left"/>
            </w:pPr>
            <w:r>
              <w:rPr>
                <w:rFonts w:ascii="宋体" w:hAnsi="宋体" w:eastAsia="宋体" w:cs="宋体"/>
                <w:kern w:val="0"/>
                <w:sz w:val="24"/>
                <w:szCs w:val="24"/>
                <w:lang w:val="en-US" w:eastAsia="zh-CN" w:bidi="ar"/>
              </w:rPr>
              <w:t>JL-1:0.6×（9-1.8）×0.1×13＝5.616</w:t>
            </w:r>
          </w:p>
          <w:p>
            <w:pPr>
              <w:keepNext w:val="0"/>
              <w:keepLines w:val="0"/>
              <w:widowControl/>
              <w:suppressLineNumbers w:val="0"/>
              <w:jc w:val="left"/>
            </w:pPr>
            <w:r>
              <w:rPr>
                <w:rFonts w:ascii="宋体" w:hAnsi="宋体" w:eastAsia="宋体" w:cs="宋体"/>
                <w:kern w:val="0"/>
                <w:sz w:val="24"/>
                <w:szCs w:val="24"/>
                <w:lang w:val="en-US" w:eastAsia="zh-CN" w:bidi="ar"/>
              </w:rPr>
              <w:t>小计：垫层总体积32.25m</w:t>
            </w:r>
            <w:r>
              <w:rPr>
                <w:rFonts w:ascii="宋体" w:hAnsi="宋体" w:eastAsia="宋体" w:cs="宋体"/>
                <w:kern w:val="0"/>
                <w:sz w:val="24"/>
                <w:szCs w:val="24"/>
                <w:vertAlign w:val="superscript"/>
                <w:lang w:val="en-US" w:eastAsia="zh-CN" w:bidi="ar"/>
              </w:rPr>
              <w:t>3</w:t>
            </w:r>
          </w:p>
        </w:tc>
        <w:tc>
          <w:tcPr>
            <w:tcW w:w="130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32.25</w:t>
            </w:r>
          </w:p>
          <w:p>
            <w:pPr>
              <w:keepNext w:val="0"/>
              <w:keepLines w:val="0"/>
              <w:widowControl/>
              <w:suppressLineNumbers w:val="0"/>
              <w:jc w:val="left"/>
            </w:pPr>
            <w:r>
              <w:rPr>
                <w:rFonts w:ascii="宋体" w:hAnsi="宋体" w:eastAsia="宋体" w:cs="宋体"/>
                <w:kern w:val="0"/>
                <w:sz w:val="24"/>
                <w:szCs w:val="24"/>
                <w:lang w:val="en-US" w:eastAsia="zh-CN" w:bidi="ar"/>
              </w:rPr>
              <w:t>或者26.63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18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现浇混</w:t>
            </w:r>
          </w:p>
          <w:p>
            <w:pPr>
              <w:keepNext w:val="0"/>
              <w:keepLines w:val="0"/>
              <w:widowControl/>
              <w:suppressLineNumbers w:val="0"/>
              <w:jc w:val="left"/>
            </w:pPr>
            <w:r>
              <w:rPr>
                <w:rFonts w:ascii="宋体" w:hAnsi="宋体" w:eastAsia="宋体" w:cs="宋体"/>
                <w:kern w:val="0"/>
                <w:sz w:val="24"/>
                <w:szCs w:val="24"/>
                <w:lang w:val="en-US" w:eastAsia="zh-CN" w:bidi="ar"/>
              </w:rPr>
              <w:t>凝土独</w:t>
            </w:r>
          </w:p>
          <w:p>
            <w:pPr>
              <w:keepNext w:val="0"/>
              <w:keepLines w:val="0"/>
              <w:widowControl/>
              <w:suppressLineNumbers w:val="0"/>
              <w:jc w:val="left"/>
            </w:pPr>
            <w:r>
              <w:rPr>
                <w:rFonts w:ascii="宋体" w:hAnsi="宋体" w:eastAsia="宋体" w:cs="宋体"/>
                <w:kern w:val="0"/>
                <w:sz w:val="24"/>
                <w:szCs w:val="24"/>
                <w:lang w:val="en-US" w:eastAsia="zh-CN" w:bidi="ar"/>
              </w:rPr>
              <w:t>立基础</w:t>
            </w:r>
          </w:p>
        </w:tc>
        <w:tc>
          <w:tcPr>
            <w:tcW w:w="720"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M</w:t>
            </w:r>
            <w:r>
              <w:rPr>
                <w:rFonts w:ascii="宋体" w:hAnsi="宋体" w:eastAsia="宋体" w:cs="宋体"/>
                <w:kern w:val="0"/>
                <w:sz w:val="24"/>
                <w:szCs w:val="24"/>
                <w:vertAlign w:val="superscript"/>
                <w:lang w:val="en-US" w:eastAsia="zh-CN" w:bidi="ar"/>
              </w:rPr>
              <w:t>3</w:t>
            </w:r>
          </w:p>
        </w:tc>
        <w:tc>
          <w:tcPr>
            <w:tcW w:w="463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J-1:[（3.2×3.4+2.4×2.6）×0.4+1.6×1.8×2.7]×10＝146.24</w:t>
            </w:r>
          </w:p>
          <w:p>
            <w:pPr>
              <w:keepNext w:val="0"/>
              <w:keepLines w:val="0"/>
              <w:widowControl/>
              <w:suppressLineNumbers w:val="0"/>
              <w:jc w:val="left"/>
            </w:pPr>
            <w:r>
              <w:rPr>
                <w:rFonts w:ascii="宋体" w:hAnsi="宋体" w:eastAsia="宋体" w:cs="宋体"/>
                <w:kern w:val="0"/>
                <w:sz w:val="24"/>
                <w:szCs w:val="24"/>
                <w:lang w:val="en-US" w:eastAsia="zh-CN" w:bidi="ar"/>
              </w:rPr>
              <w:t>J-2:[（4.7×3.4+3.9×2.6）×0.4+3.1×1.8×2.7]×6＝153.084</w:t>
            </w:r>
          </w:p>
          <w:p>
            <w:pPr>
              <w:keepNext w:val="0"/>
              <w:keepLines w:val="0"/>
              <w:widowControl/>
              <w:suppressLineNumbers w:val="0"/>
              <w:jc w:val="left"/>
            </w:pPr>
            <w:r>
              <w:rPr>
                <w:rFonts w:ascii="宋体" w:hAnsi="宋体" w:eastAsia="宋体" w:cs="宋体"/>
                <w:kern w:val="0"/>
                <w:sz w:val="24"/>
                <w:szCs w:val="24"/>
                <w:lang w:val="en-US" w:eastAsia="zh-CN" w:bidi="ar"/>
              </w:rPr>
              <w:t>J-3:（2.6×3.2×0.8+1.6×1.8×2.7）×4＝57.728</w:t>
            </w:r>
          </w:p>
          <w:p>
            <w:pPr>
              <w:keepNext w:val="0"/>
              <w:keepLines w:val="0"/>
              <w:widowControl/>
              <w:suppressLineNumbers w:val="0"/>
              <w:jc w:val="left"/>
            </w:pPr>
            <w:r>
              <w:rPr>
                <w:rFonts w:ascii="宋体" w:hAnsi="宋体" w:eastAsia="宋体" w:cs="宋体"/>
                <w:kern w:val="0"/>
                <w:sz w:val="24"/>
                <w:szCs w:val="24"/>
                <w:lang w:val="en-US" w:eastAsia="zh-CN" w:bidi="ar"/>
              </w:rPr>
              <w:t>小计：独立基础体积357.05m</w:t>
            </w:r>
            <w:r>
              <w:rPr>
                <w:rFonts w:ascii="宋体" w:hAnsi="宋体" w:eastAsia="宋体" w:cs="宋体"/>
                <w:kern w:val="0"/>
                <w:sz w:val="24"/>
                <w:szCs w:val="24"/>
                <w:vertAlign w:val="superscript"/>
                <w:lang w:val="en-US" w:eastAsia="zh-CN" w:bidi="ar"/>
              </w:rPr>
              <w:t>3</w:t>
            </w:r>
          </w:p>
        </w:tc>
        <w:tc>
          <w:tcPr>
            <w:tcW w:w="130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357.05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18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现浇混凝土基础梁</w:t>
            </w:r>
          </w:p>
        </w:tc>
        <w:tc>
          <w:tcPr>
            <w:tcW w:w="720"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M</w:t>
            </w:r>
            <w:r>
              <w:rPr>
                <w:rFonts w:ascii="宋体" w:hAnsi="宋体" w:eastAsia="宋体" w:cs="宋体"/>
                <w:kern w:val="0"/>
                <w:sz w:val="24"/>
                <w:szCs w:val="24"/>
                <w:vertAlign w:val="superscript"/>
                <w:lang w:val="en-US" w:eastAsia="zh-CN" w:bidi="ar"/>
              </w:rPr>
              <w:t>3</w:t>
            </w:r>
          </w:p>
        </w:tc>
        <w:tc>
          <w:tcPr>
            <w:tcW w:w="463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0.4×0.6×（9-1.8）×13=22.46</w:t>
            </w:r>
          </w:p>
        </w:tc>
        <w:tc>
          <w:tcPr>
            <w:tcW w:w="130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22.46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18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现浇构</w:t>
            </w:r>
          </w:p>
          <w:p>
            <w:pPr>
              <w:keepNext w:val="0"/>
              <w:keepLines w:val="0"/>
              <w:widowControl/>
              <w:suppressLineNumbers w:val="0"/>
              <w:jc w:val="left"/>
            </w:pPr>
            <w:r>
              <w:rPr>
                <w:rFonts w:ascii="宋体" w:hAnsi="宋体" w:eastAsia="宋体" w:cs="宋体"/>
                <w:kern w:val="0"/>
                <w:sz w:val="24"/>
                <w:szCs w:val="24"/>
                <w:lang w:val="en-US" w:eastAsia="zh-CN" w:bidi="ar"/>
              </w:rPr>
              <w:t>件钢筋</w:t>
            </w:r>
          </w:p>
        </w:tc>
        <w:tc>
          <w:tcPr>
            <w:tcW w:w="720"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t</w:t>
            </w:r>
          </w:p>
        </w:tc>
        <w:tc>
          <w:tcPr>
            <w:tcW w:w="463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（357.05×80+22.46×100）/1000=30.81</w:t>
            </w:r>
          </w:p>
        </w:tc>
        <w:tc>
          <w:tcPr>
            <w:tcW w:w="130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30.81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18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现浇混</w:t>
            </w:r>
          </w:p>
          <w:p>
            <w:pPr>
              <w:keepNext w:val="0"/>
              <w:keepLines w:val="0"/>
              <w:widowControl/>
              <w:suppressLineNumbers w:val="0"/>
              <w:jc w:val="left"/>
            </w:pPr>
            <w:r>
              <w:rPr>
                <w:rFonts w:ascii="宋体" w:hAnsi="宋体" w:eastAsia="宋体" w:cs="宋体"/>
                <w:kern w:val="0"/>
                <w:sz w:val="24"/>
                <w:szCs w:val="24"/>
                <w:lang w:val="en-US" w:eastAsia="zh-CN" w:bidi="ar"/>
              </w:rPr>
              <w:t>凝土模</w:t>
            </w:r>
          </w:p>
          <w:p>
            <w:pPr>
              <w:keepNext w:val="0"/>
              <w:keepLines w:val="0"/>
              <w:widowControl/>
              <w:suppressLineNumbers w:val="0"/>
              <w:jc w:val="left"/>
            </w:pPr>
            <w:r>
              <w:rPr>
                <w:rFonts w:ascii="宋体" w:hAnsi="宋体" w:eastAsia="宋体" w:cs="宋体"/>
                <w:kern w:val="0"/>
                <w:sz w:val="24"/>
                <w:szCs w:val="24"/>
                <w:lang w:val="en-US" w:eastAsia="zh-CN" w:bidi="ar"/>
              </w:rPr>
              <w:t>板</w:t>
            </w:r>
          </w:p>
        </w:tc>
        <w:tc>
          <w:tcPr>
            <w:tcW w:w="720"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M</w:t>
            </w:r>
            <w:r>
              <w:rPr>
                <w:rFonts w:ascii="宋体" w:hAnsi="宋体" w:eastAsia="宋体" w:cs="宋体"/>
                <w:kern w:val="0"/>
                <w:sz w:val="24"/>
                <w:szCs w:val="24"/>
                <w:vertAlign w:val="superscript"/>
                <w:lang w:val="en-US" w:eastAsia="zh-CN" w:bidi="ar"/>
              </w:rPr>
              <w:t>2</w:t>
            </w:r>
          </w:p>
        </w:tc>
        <w:tc>
          <w:tcPr>
            <w:tcW w:w="463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一、垫层模板:</w:t>
            </w:r>
          </w:p>
          <w:p>
            <w:pPr>
              <w:keepNext w:val="0"/>
              <w:keepLines w:val="0"/>
              <w:widowControl/>
              <w:suppressLineNumbers w:val="0"/>
              <w:jc w:val="left"/>
            </w:pPr>
            <w:r>
              <w:rPr>
                <w:rFonts w:ascii="宋体" w:hAnsi="宋体" w:eastAsia="宋体" w:cs="宋体"/>
                <w:kern w:val="0"/>
                <w:sz w:val="24"/>
                <w:szCs w:val="24"/>
                <w:lang w:val="en-US" w:eastAsia="zh-CN" w:bidi="ar"/>
              </w:rPr>
              <w:t>J-1:（3.4+3.6）×2×0.1×10＝14</w:t>
            </w:r>
          </w:p>
          <w:p>
            <w:pPr>
              <w:keepNext w:val="0"/>
              <w:keepLines w:val="0"/>
              <w:widowControl/>
              <w:suppressLineNumbers w:val="0"/>
              <w:jc w:val="left"/>
            </w:pPr>
            <w:r>
              <w:rPr>
                <w:rFonts w:ascii="宋体" w:hAnsi="宋体" w:eastAsia="宋体" w:cs="宋体"/>
                <w:kern w:val="0"/>
                <w:sz w:val="24"/>
                <w:szCs w:val="24"/>
                <w:lang w:val="en-US" w:eastAsia="zh-CN" w:bidi="ar"/>
              </w:rPr>
              <w:t>J-2:（4.9+3.6）×2×0.1×6＝10.2</w:t>
            </w:r>
          </w:p>
          <w:p>
            <w:pPr>
              <w:keepNext w:val="0"/>
              <w:keepLines w:val="0"/>
              <w:widowControl/>
              <w:suppressLineNumbers w:val="0"/>
              <w:jc w:val="left"/>
            </w:pPr>
            <w:r>
              <w:rPr>
                <w:rFonts w:ascii="宋体" w:hAnsi="宋体" w:eastAsia="宋体" w:cs="宋体"/>
                <w:kern w:val="0"/>
                <w:sz w:val="24"/>
                <w:szCs w:val="24"/>
                <w:lang w:val="en-US" w:eastAsia="zh-CN" w:bidi="ar"/>
              </w:rPr>
              <w:t>J-3:（2.8+3.4）×2×0.1×4＝4.96</w:t>
            </w:r>
          </w:p>
          <w:p>
            <w:pPr>
              <w:keepNext w:val="0"/>
              <w:keepLines w:val="0"/>
              <w:widowControl/>
              <w:suppressLineNumbers w:val="0"/>
              <w:jc w:val="left"/>
            </w:pPr>
            <w:r>
              <w:rPr>
                <w:rFonts w:ascii="宋体" w:hAnsi="宋体" w:eastAsia="宋体" w:cs="宋体"/>
                <w:kern w:val="0"/>
                <w:sz w:val="24"/>
                <w:szCs w:val="24"/>
                <w:lang w:val="en-US" w:eastAsia="zh-CN" w:bidi="ar"/>
              </w:rPr>
              <w:t>JL-1：（9-1.8）×0.1×2×13＝18.72</w:t>
            </w:r>
          </w:p>
          <w:p>
            <w:pPr>
              <w:keepNext w:val="0"/>
              <w:keepLines w:val="0"/>
              <w:widowControl/>
              <w:suppressLineNumbers w:val="0"/>
              <w:jc w:val="left"/>
            </w:pPr>
            <w:r>
              <w:rPr>
                <w:rFonts w:ascii="宋体" w:hAnsi="宋体" w:eastAsia="宋体" w:cs="宋体"/>
                <w:kern w:val="0"/>
                <w:sz w:val="24"/>
                <w:szCs w:val="24"/>
                <w:lang w:val="en-US" w:eastAsia="zh-CN" w:bidi="ar"/>
              </w:rPr>
              <w:t>小计：47.88</w:t>
            </w:r>
          </w:p>
        </w:tc>
        <w:tc>
          <w:tcPr>
            <w:tcW w:w="130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18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现浇混</w:t>
            </w:r>
          </w:p>
          <w:p>
            <w:pPr>
              <w:keepNext w:val="0"/>
              <w:keepLines w:val="0"/>
              <w:widowControl/>
              <w:suppressLineNumbers w:val="0"/>
              <w:jc w:val="left"/>
            </w:pPr>
            <w:r>
              <w:rPr>
                <w:rFonts w:ascii="宋体" w:hAnsi="宋体" w:eastAsia="宋体" w:cs="宋体"/>
                <w:kern w:val="0"/>
                <w:sz w:val="24"/>
                <w:szCs w:val="24"/>
                <w:lang w:val="en-US" w:eastAsia="zh-CN" w:bidi="ar"/>
              </w:rPr>
              <w:t>凝土模</w:t>
            </w:r>
          </w:p>
          <w:p>
            <w:pPr>
              <w:keepNext w:val="0"/>
              <w:keepLines w:val="0"/>
              <w:widowControl/>
              <w:suppressLineNumbers w:val="0"/>
              <w:jc w:val="left"/>
            </w:pPr>
            <w:r>
              <w:rPr>
                <w:rFonts w:ascii="宋体" w:hAnsi="宋体" w:eastAsia="宋体" w:cs="宋体"/>
                <w:kern w:val="0"/>
                <w:sz w:val="24"/>
                <w:szCs w:val="24"/>
                <w:lang w:val="en-US" w:eastAsia="zh-CN" w:bidi="ar"/>
              </w:rPr>
              <w:t>板</w:t>
            </w:r>
          </w:p>
        </w:tc>
        <w:tc>
          <w:tcPr>
            <w:tcW w:w="720"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M</w:t>
            </w:r>
            <w:r>
              <w:rPr>
                <w:rFonts w:ascii="宋体" w:hAnsi="宋体" w:eastAsia="宋体" w:cs="宋体"/>
                <w:kern w:val="0"/>
                <w:sz w:val="24"/>
                <w:szCs w:val="24"/>
                <w:vertAlign w:val="superscript"/>
                <w:lang w:val="en-US" w:eastAsia="zh-CN" w:bidi="ar"/>
              </w:rPr>
              <w:t>2</w:t>
            </w:r>
            <w:r>
              <w:rPr>
                <w:rFonts w:ascii="宋体" w:hAnsi="宋体" w:eastAsia="宋体" w:cs="宋体"/>
                <w:kern w:val="0"/>
                <w:sz w:val="24"/>
                <w:szCs w:val="24"/>
                <w:lang w:val="en-US" w:eastAsia="zh-CN" w:bidi="ar"/>
              </w:rPr>
              <w:t> </w:t>
            </w:r>
          </w:p>
        </w:tc>
        <w:tc>
          <w:tcPr>
            <w:tcW w:w="463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二、基础模板:</w:t>
            </w:r>
          </w:p>
          <w:p>
            <w:pPr>
              <w:keepNext w:val="0"/>
              <w:keepLines w:val="0"/>
              <w:widowControl/>
              <w:suppressLineNumbers w:val="0"/>
              <w:jc w:val="left"/>
            </w:pPr>
            <w:r>
              <w:rPr>
                <w:rFonts w:ascii="宋体" w:hAnsi="宋体" w:eastAsia="宋体" w:cs="宋体"/>
                <w:kern w:val="0"/>
                <w:sz w:val="24"/>
                <w:szCs w:val="24"/>
                <w:lang w:val="en-US" w:eastAsia="zh-CN" w:bidi="ar"/>
              </w:rPr>
              <w:t>j-1:{[（3.2+3.4）+（2.4+2.6）]×2×0.4+（1.6+1.8）×2×2.7}×10＝276.4</w:t>
            </w:r>
          </w:p>
          <w:p>
            <w:pPr>
              <w:keepNext w:val="0"/>
              <w:keepLines w:val="0"/>
              <w:widowControl/>
              <w:suppressLineNumbers w:val="0"/>
              <w:jc w:val="left"/>
            </w:pPr>
            <w:r>
              <w:rPr>
                <w:rFonts w:ascii="宋体" w:hAnsi="宋体" w:eastAsia="宋体" w:cs="宋体"/>
                <w:kern w:val="0"/>
                <w:sz w:val="24"/>
                <w:szCs w:val="24"/>
                <w:lang w:val="en-US" w:eastAsia="zh-CN" w:bidi="ar"/>
              </w:rPr>
              <w:t>j-2: {[（4.7+3.4）+（3.9+2.6）]×2×0.4+（3.1+1.8）×2×2.7}×6＝228.84</w:t>
            </w:r>
          </w:p>
          <w:p>
            <w:pPr>
              <w:keepNext w:val="0"/>
              <w:keepLines w:val="0"/>
              <w:widowControl/>
              <w:suppressLineNumbers w:val="0"/>
              <w:jc w:val="left"/>
            </w:pPr>
            <w:r>
              <w:rPr>
                <w:rFonts w:ascii="宋体" w:hAnsi="宋体" w:eastAsia="宋体" w:cs="宋体"/>
                <w:kern w:val="0"/>
                <w:sz w:val="24"/>
                <w:szCs w:val="24"/>
                <w:lang w:val="en-US" w:eastAsia="zh-CN" w:bidi="ar"/>
              </w:rPr>
              <w:t>j-3: {[（2.6+3.2）×2×0.8+（1.6+1.8）×2×2.7}×4＝110.56</w:t>
            </w:r>
          </w:p>
          <w:p>
            <w:pPr>
              <w:keepNext w:val="0"/>
              <w:keepLines w:val="0"/>
              <w:widowControl/>
              <w:suppressLineNumbers w:val="0"/>
              <w:jc w:val="left"/>
            </w:pPr>
            <w:r>
              <w:rPr>
                <w:rFonts w:ascii="宋体" w:hAnsi="宋体" w:eastAsia="宋体" w:cs="宋体"/>
                <w:kern w:val="0"/>
                <w:sz w:val="24"/>
                <w:szCs w:val="24"/>
                <w:lang w:val="en-US" w:eastAsia="zh-CN" w:bidi="ar"/>
              </w:rPr>
              <w:t>扣基础梁与基础接触面积0.6×0.4×2×13=6.24</w:t>
            </w:r>
          </w:p>
          <w:p>
            <w:pPr>
              <w:keepNext w:val="0"/>
              <w:keepLines w:val="0"/>
              <w:widowControl/>
              <w:suppressLineNumbers w:val="0"/>
              <w:jc w:val="left"/>
            </w:pPr>
            <w:r>
              <w:rPr>
                <w:rFonts w:ascii="宋体" w:hAnsi="宋体" w:eastAsia="宋体" w:cs="宋体"/>
                <w:kern w:val="0"/>
                <w:sz w:val="24"/>
                <w:szCs w:val="24"/>
                <w:lang w:val="en-US" w:eastAsia="zh-CN" w:bidi="ar"/>
              </w:rPr>
              <w:t>小计：615.8-6.24=609.56</w:t>
            </w:r>
          </w:p>
          <w:p>
            <w:pPr>
              <w:keepNext w:val="0"/>
              <w:keepLines w:val="0"/>
              <w:widowControl/>
              <w:suppressLineNumbers w:val="0"/>
              <w:jc w:val="left"/>
            </w:pPr>
            <w:r>
              <w:rPr>
                <w:rFonts w:ascii="宋体" w:hAnsi="宋体" w:eastAsia="宋体" w:cs="宋体"/>
                <w:kern w:val="0"/>
                <w:sz w:val="24"/>
                <w:szCs w:val="24"/>
                <w:lang w:val="en-US" w:eastAsia="zh-CN" w:bidi="ar"/>
              </w:rPr>
              <w:t>基础梁模板：（9-1.8）×0.6×2×13＝112.32</w:t>
            </w:r>
          </w:p>
        </w:tc>
        <w:tc>
          <w:tcPr>
            <w:tcW w:w="1305" w:type="dxa"/>
            <w:shd w:val="clear"/>
            <w:vAlign w:val="top"/>
          </w:tcPr>
          <w:p>
            <w:pPr>
              <w:keepNext w:val="0"/>
              <w:keepLines w:val="0"/>
              <w:widowControl/>
              <w:suppressLineNumbers w:val="0"/>
              <w:jc w:val="left"/>
            </w:pPr>
            <w:r>
              <w:rPr>
                <w:rFonts w:ascii="宋体" w:hAnsi="宋体" w:eastAsia="宋体" w:cs="宋体"/>
                <w:kern w:val="0"/>
                <w:sz w:val="24"/>
                <w:szCs w:val="24"/>
                <w:lang w:val="en-US" w:eastAsia="zh-CN" w:bidi="ar"/>
              </w:rPr>
              <w:t> </w:t>
            </w:r>
          </w:p>
        </w:tc>
      </w:tr>
    </w:tbl>
    <w:p>
      <w:pPr>
        <w:keepNext w:val="0"/>
        <w:keepLines w:val="0"/>
        <w:widowControl/>
        <w:suppressLineNumbers w:val="0"/>
        <w:ind w:lef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lang w:val="en-US" w:eastAsia="zh-CN" w:bidi="ar"/>
        </w:rPr>
        <w:t>问题二、根据问题1的计算结果及答题卡中给定的项目编码、综合单价，按《建设工程工程量清单计价规范》（GB50500—2013）的要求，在答题卡表6.1.2中编制“分部分项工程和单价措施项目清单与计价表”。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jc w:val="left"/>
      </w:pPr>
      <w:r>
        <w:rPr>
          <w:rFonts w:hint="eastAsia" w:ascii="宋体" w:hAnsi="宋体" w:eastAsia="宋体" w:cs="宋体"/>
          <w:b w:val="0"/>
          <w:i w:val="0"/>
          <w:caps w:val="0"/>
          <w:color w:val="333333"/>
          <w:spacing w:val="0"/>
          <w:sz w:val="24"/>
          <w:szCs w:val="24"/>
          <w:bdr w:val="none" w:color="auto" w:sz="0" w:space="0"/>
        </w:rPr>
        <w:t> </w:t>
      </w:r>
      <w:r>
        <w:rPr>
          <w:rFonts w:hint="eastAsia" w:ascii="宋体" w:hAnsi="宋体" w:eastAsia="宋体" w:cs="宋体"/>
          <w:b w:val="0"/>
          <w:i w:val="0"/>
          <w:caps w:val="0"/>
          <w:color w:val="333333"/>
          <w:spacing w:val="0"/>
          <w:sz w:val="24"/>
          <w:szCs w:val="24"/>
          <w:bdr w:val="none" w:color="auto" w:sz="0" w:space="0"/>
        </w:rPr>
        <w:drawing>
          <wp:inline distT="0" distB="0" distL="114300" distR="114300">
            <wp:extent cx="5676900" cy="5362575"/>
            <wp:effectExtent l="0" t="0" r="0" b="9525"/>
            <wp:docPr id="16" name="图片 16"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IMG_259"/>
                    <pic:cNvPicPr>
                      <a:picLocks noChangeAspect="1"/>
                    </pic:cNvPicPr>
                  </pic:nvPicPr>
                  <pic:blipFill>
                    <a:blip r:embed="rId18"/>
                    <a:stretch>
                      <a:fillRect/>
                    </a:stretch>
                  </pic:blipFill>
                  <pic:spPr>
                    <a:xfrm>
                      <a:off x="0" y="0"/>
                      <a:ext cx="5676900" cy="5362575"/>
                    </a:xfrm>
                    <a:prstGeom prst="rect">
                      <a:avLst/>
                    </a:prstGeom>
                    <a:noFill/>
                    <a:ln w="9525">
                      <a:noFill/>
                    </a:ln>
                  </pic:spPr>
                </pic:pic>
              </a:graphicData>
            </a:graphic>
          </wp:inline>
        </w:drawing>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eb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Webdings">
    <w:panose1 w:val="05030102010509060703"/>
    <w:charset w:val="00"/>
    <w:family w:val="auto"/>
    <w:pitch w:val="default"/>
    <w:sig w:usb0="00000000" w:usb1="00000000" w:usb2="00000000" w:usb3="00000000" w:csb0="80000000" w:csb1="00000000"/>
  </w:font>
  <w:font w:name="Segoe UI">
    <w:panose1 w:val="020B0502040204020203"/>
    <w:charset w:val="00"/>
    <w:family w:val="auto"/>
    <w:pitch w:val="default"/>
    <w:sig w:usb0="E10022FF" w:usb1="C000E47F" w:usb2="00000029" w:usb3="00000000" w:csb0="200001DF" w:csb1="2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E177B6"/>
    <w:rsid w:val="3AE177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5.pn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2018-09-17T07:15:00Z</dcterms:created>
  <dc:creator>dell</dc:creator>
  <cp:lastModifiedBy>dell</cp:lastModifiedBy>
  <dcterms:modified xsi:type="dcterms:W3CDTF">2018-09-17T07:16:48Z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